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color w:val="5B9BD5" w:themeColor="accent1"/>
          <w:lang w:eastAsia="en-US"/>
        </w:rPr>
        <w:id w:val="2026598075"/>
        <w:docPartObj>
          <w:docPartGallery w:val="Cover Pages"/>
          <w:docPartUnique/>
        </w:docPartObj>
      </w:sdtPr>
      <w:sdtEndPr>
        <w:rPr>
          <w:color w:val="auto"/>
          <w:sz w:val="24"/>
          <w:szCs w:val="24"/>
        </w:rPr>
      </w:sdtEndPr>
      <w:sdtContent>
        <w:p w:rsidR="00116BE4" w:rsidRDefault="00116BE4" w:rsidP="00116BE4">
          <w:pPr>
            <w:pStyle w:val="Sansinterligne"/>
            <w:spacing w:before="1540" w:after="240"/>
            <w:jc w:val="center"/>
            <w:rPr>
              <w:color w:val="5B9BD5" w:themeColor="accent1"/>
            </w:rPr>
          </w:pPr>
          <w:r>
            <w:rPr>
              <w:noProof/>
              <w:color w:val="5B9BD5" w:themeColor="accent1"/>
            </w:rPr>
            <w:drawing>
              <wp:inline distT="0" distB="0" distL="0" distR="0" wp14:anchorId="7F5D7678" wp14:editId="3F96D78C">
                <wp:extent cx="1417320" cy="750898"/>
                <wp:effectExtent l="0" t="0" r="0" b="0"/>
                <wp:docPr id="143"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bookmarkStart w:id="0" w:name="_GoBack"/>
          <w:bookmarkEnd w:id="0"/>
        </w:p>
        <w:sdt>
          <w:sdtPr>
            <w:rPr>
              <w:rFonts w:asciiTheme="majorHAnsi" w:eastAsiaTheme="majorEastAsia" w:hAnsiTheme="majorHAnsi" w:cstheme="majorBidi"/>
              <w:b/>
              <w:caps/>
              <w:color w:val="5B9BD5" w:themeColor="accent1"/>
              <w:sz w:val="72"/>
              <w:szCs w:val="72"/>
            </w:rPr>
            <w:alias w:val="Titre"/>
            <w:tag w:val=""/>
            <w:id w:val="1735040861"/>
            <w:placeholder>
              <w:docPart w:val="E869CEA1037846A992EC5211021F650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116BE4" w:rsidRPr="00F41FFC" w:rsidRDefault="00116BE4" w:rsidP="00116BE4">
              <w:pPr>
                <w:pStyle w:val="Sansinterligne"/>
                <w:pBdr>
                  <w:top w:val="single" w:sz="6" w:space="6" w:color="5B9BD5" w:themeColor="accent1"/>
                  <w:bottom w:val="single" w:sz="6" w:space="6" w:color="5B9BD5" w:themeColor="accent1"/>
                </w:pBdr>
                <w:spacing w:after="240"/>
                <w:jc w:val="center"/>
                <w:rPr>
                  <w:rFonts w:asciiTheme="majorHAnsi" w:eastAsiaTheme="majorEastAsia" w:hAnsiTheme="majorHAnsi" w:cstheme="majorBidi"/>
                  <w:b/>
                  <w:caps/>
                  <w:color w:val="5B9BD5" w:themeColor="accent1"/>
                  <w:sz w:val="80"/>
                  <w:szCs w:val="80"/>
                </w:rPr>
              </w:pPr>
              <w:r w:rsidRPr="00F41FFC">
                <w:rPr>
                  <w:rFonts w:asciiTheme="majorHAnsi" w:eastAsiaTheme="majorEastAsia" w:hAnsiTheme="majorHAnsi" w:cstheme="majorBidi"/>
                  <w:b/>
                  <w:caps/>
                  <w:color w:val="5B9BD5" w:themeColor="accent1"/>
                  <w:sz w:val="72"/>
                  <w:szCs w:val="72"/>
                </w:rPr>
                <w:t>LE BEAUDET</w:t>
              </w:r>
            </w:p>
          </w:sdtContent>
        </w:sdt>
        <w:p w:rsidR="00116BE4" w:rsidRDefault="00116BE4" w:rsidP="00116BE4">
          <w:pPr>
            <w:pStyle w:val="Sansinterligne"/>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18D7FCBD" wp14:editId="3107A133">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Zone de text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
                                  <w:tag w:val=""/>
                                  <w:id w:val="197127006"/>
                                  <w:showingPlcHdr/>
                                  <w:dataBinding w:prefixMappings="xmlns:ns0='http://schemas.microsoft.com/office/2006/coverPageProps' " w:xpath="/ns0:CoverPageProperties[1]/ns0:PublishDate[1]" w:storeItemID="{55AF091B-3C7A-41E3-B477-F2FDAA23CFDA}"/>
                                  <w:date w:fullDate="2021-07-12T00:00:00Z">
                                    <w:dateFormat w:val="dd MMMM yyyy"/>
                                    <w:lid w:val="fr-FR"/>
                                    <w:storeMappedDataAs w:val="dateTime"/>
                                    <w:calendar w:val="gregorian"/>
                                  </w:date>
                                </w:sdtPr>
                                <w:sdtEndPr/>
                                <w:sdtContent>
                                  <w:p w:rsidR="00116BE4" w:rsidRDefault="00116BE4" w:rsidP="00116BE4">
                                    <w:pPr>
                                      <w:pStyle w:val="Sansinterligne"/>
                                      <w:spacing w:after="40"/>
                                      <w:jc w:val="center"/>
                                      <w:rPr>
                                        <w:caps/>
                                        <w:color w:val="5B9BD5" w:themeColor="accent1"/>
                                        <w:sz w:val="28"/>
                                        <w:szCs w:val="28"/>
                                      </w:rPr>
                                    </w:pPr>
                                    <w:r>
                                      <w:rPr>
                                        <w:caps/>
                                        <w:color w:val="5B9BD5" w:themeColor="accent1"/>
                                        <w:sz w:val="28"/>
                                        <w:szCs w:val="28"/>
                                      </w:rPr>
                                      <w:t xml:space="preserve">     </w:t>
                                    </w:r>
                                  </w:p>
                                </w:sdtContent>
                              </w:sdt>
                              <w:p w:rsidR="00116BE4" w:rsidRDefault="0063262B" w:rsidP="00116BE4">
                                <w:pPr>
                                  <w:pStyle w:val="Sansinterligne"/>
                                  <w:jc w:val="center"/>
                                  <w:rPr>
                                    <w:color w:val="5B9BD5" w:themeColor="accent1"/>
                                  </w:rPr>
                                </w:pPr>
                                <w:sdt>
                                  <w:sdtPr>
                                    <w:rPr>
                                      <w:caps/>
                                      <w:color w:val="5B9BD5" w:themeColor="accent1"/>
                                    </w:rPr>
                                    <w:alias w:val="Société"/>
                                    <w:tag w:val=""/>
                                    <w:id w:val="1390145197"/>
                                    <w:showingPlcHdr/>
                                    <w:dataBinding w:prefixMappings="xmlns:ns0='http://schemas.openxmlformats.org/officeDocument/2006/extended-properties' " w:xpath="/ns0:Properties[1]/ns0:Company[1]" w:storeItemID="{6668398D-A668-4E3E-A5EB-62B293D839F1}"/>
                                    <w:text/>
                                  </w:sdtPr>
                                  <w:sdtEndPr/>
                                  <w:sdtContent>
                                    <w:r w:rsidR="00116BE4">
                                      <w:rPr>
                                        <w:caps/>
                                        <w:color w:val="5B9BD5" w:themeColor="accent1"/>
                                      </w:rPr>
                                      <w:t xml:space="preserve">     </w:t>
                                    </w:r>
                                  </w:sdtContent>
                                </w:sdt>
                              </w:p>
                              <w:p w:rsidR="00116BE4" w:rsidRDefault="0063262B" w:rsidP="00116BE4">
                                <w:pPr>
                                  <w:pStyle w:val="Sansinterligne"/>
                                  <w:jc w:val="center"/>
                                  <w:rPr>
                                    <w:color w:val="5B9BD5" w:themeColor="accent1"/>
                                  </w:rPr>
                                </w:pPr>
                                <w:sdt>
                                  <w:sdtPr>
                                    <w:rPr>
                                      <w:color w:val="5B9BD5"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EndPr/>
                                  <w:sdtContent>
                                    <w:r w:rsidR="00116BE4">
                                      <w:rPr>
                                        <w:color w:val="5B9BD5"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8D7FCBD" id="_x0000_t202" coordsize="21600,21600" o:spt="202" path="m,l,21600r21600,l21600,xe">
                    <v:stroke joinstyle="miter"/>
                    <v:path gradientshapeok="t" o:connecttype="rect"/>
                  </v:shapetype>
                  <v:shape id="Zone de texte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ZDVegIAAFsFAAAOAAAAZHJzL2Uyb0RvYy54bWysVE1P3DAQvVfqf7B8L1k+FtCKLNqCqCoh&#10;QIUKqTevY7NRHY9rezfZ/nqenWRBtBeqXpyJ58145s3H2XnXGLZRPtRkS76/N+FMWUlVbZ9K/v3h&#10;6tMpZyEKWwlDVpV8qwI/n3/8cNa6mTqgFZlKeQYnNsxaV/JVjG5WFEGuVCPCHjllodTkGxHx65+K&#10;yosW3htTHEwmx0VLvnKepAoBt5e9ks+zf62VjLdaBxWZKTlii/n0+Vyms5ifidmTF25VyyEM8Q9R&#10;NKK2eHTn6lJEwda+/sNVU0tPgXTck9QUpHUtVc4B2exP3mRzvxJO5VxATnA7msL/cytvNnee1RVq&#10;d3TAmRUNivQDpWKVYlF1UbGkAE2tCzOg7x3wsftMHUzG+4DLlH2nfZO+yItBD8K3O5Lhi0lcHk+n&#10;h6gcZxK66fTk5PQouSlerJ0P8YuihiWh5B5FzNyKzXWIPXSEpMcsXdXG5EIay1q8cDidZIOdBs6N&#10;TViVW2JwkzLqI89S3BqVMMZ+UxqU5ATSRW5GdWE82wi0kZBS2Zhzz36BTiiNIN5jOOBfonqPcZ/H&#10;+DLZuDNuaks+Z/8m7OrnGLLu8eD8Vd5JjN2yGyq9pGqLQnvqJyY4eVWjGtcixDvhMSIoIMY+3uLQ&#10;hsA6DRJnK/K//3af8OhcaDlrMXIlD7/WwivOzFeLnk7zOQp+FJajYNfNBYH+fSwUJ7MIAx/NKGpP&#10;zSO2wSK9ApWwEm+VfDmKF7EffGwTqRaLDMIUOhGv7b2TyXWqRuqth+5ReDc0YBqDGxqHUcze9GGP&#10;zY3iFuuIbsxNmgjtWRyIxgTnNh+2TVoRr/8z6mUnzp8B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BR2ZDVegIAAFsFAAAOAAAA&#10;AAAAAAAAAAAAAC4CAABkcnMvZTJvRG9jLnhtbFBLAQItABQABgAIAAAAIQDomEK02gAAAAUBAAAP&#10;AAAAAAAAAAAAAAAAANQEAABkcnMvZG93bnJldi54bWxQSwUGAAAAAAQABADzAAAA2wUAAAAA&#10;" filled="f" stroked="f" strokeweight=".5pt">
                    <v:textbox style="mso-fit-shape-to-text:t" inset="0,0,0,0">
                      <w:txbxContent>
                        <w:sdt>
                          <w:sdtPr>
                            <w:rPr>
                              <w:caps/>
                              <w:color w:val="5B9BD5" w:themeColor="accent1"/>
                              <w:sz w:val="28"/>
                              <w:szCs w:val="28"/>
                            </w:rPr>
                            <w:alias w:val="Date "/>
                            <w:tag w:val=""/>
                            <w:id w:val="197127006"/>
                            <w:showingPlcHdr/>
                            <w:dataBinding w:prefixMappings="xmlns:ns0='http://schemas.microsoft.com/office/2006/coverPageProps' " w:xpath="/ns0:CoverPageProperties[1]/ns0:PublishDate[1]" w:storeItemID="{55AF091B-3C7A-41E3-B477-F2FDAA23CFDA}"/>
                            <w:date w:fullDate="2021-07-12T00:00:00Z">
                              <w:dateFormat w:val="dd MMMM yyyy"/>
                              <w:lid w:val="fr-FR"/>
                              <w:storeMappedDataAs w:val="dateTime"/>
                              <w:calendar w:val="gregorian"/>
                            </w:date>
                          </w:sdtPr>
                          <w:sdtContent>
                            <w:p w:rsidR="00116BE4" w:rsidRDefault="00116BE4" w:rsidP="00116BE4">
                              <w:pPr>
                                <w:pStyle w:val="Sansinterligne"/>
                                <w:spacing w:after="40"/>
                                <w:jc w:val="center"/>
                                <w:rPr>
                                  <w:caps/>
                                  <w:color w:val="5B9BD5" w:themeColor="accent1"/>
                                  <w:sz w:val="28"/>
                                  <w:szCs w:val="28"/>
                                </w:rPr>
                              </w:pPr>
                              <w:r>
                                <w:rPr>
                                  <w:caps/>
                                  <w:color w:val="5B9BD5" w:themeColor="accent1"/>
                                  <w:sz w:val="28"/>
                                  <w:szCs w:val="28"/>
                                </w:rPr>
                                <w:t xml:space="preserve">     </w:t>
                              </w:r>
                            </w:p>
                          </w:sdtContent>
                        </w:sdt>
                        <w:p w:rsidR="00116BE4" w:rsidRDefault="00116BE4" w:rsidP="00116BE4">
                          <w:pPr>
                            <w:pStyle w:val="Sansinterligne"/>
                            <w:jc w:val="center"/>
                            <w:rPr>
                              <w:color w:val="5B9BD5" w:themeColor="accent1"/>
                            </w:rPr>
                          </w:pPr>
                          <w:sdt>
                            <w:sdtPr>
                              <w:rPr>
                                <w:caps/>
                                <w:color w:val="5B9BD5" w:themeColor="accent1"/>
                              </w:rPr>
                              <w:alias w:val="Société"/>
                              <w:tag w:val=""/>
                              <w:id w:val="1390145197"/>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p w:rsidR="00116BE4" w:rsidRDefault="00116BE4" w:rsidP="00116BE4">
                          <w:pPr>
                            <w:pStyle w:val="Sansinterligne"/>
                            <w:jc w:val="center"/>
                            <w:rPr>
                              <w:color w:val="5B9BD5" w:themeColor="accent1"/>
                            </w:rPr>
                          </w:pPr>
                          <w:sdt>
                            <w:sdtPr>
                              <w:rPr>
                                <w:color w:val="5B9BD5" w:themeColor="accent1"/>
                              </w:rPr>
                              <w:alias w:val="Adresse"/>
                              <w:tag w:val=""/>
                              <w:id w:val="-726379553"/>
                              <w:showingPlcHdr/>
                              <w:dataBinding w:prefixMappings="xmlns:ns0='http://schemas.microsoft.com/office/2006/coverPageProps' " w:xpath="/ns0:CoverPageProperties[1]/ns0:CompanyAddress[1]" w:storeItemID="{55AF091B-3C7A-41E3-B477-F2FDAA23CFDA}"/>
                              <w:text/>
                            </w:sdtPr>
                            <w:sdtContent>
                              <w:r>
                                <w:rPr>
                                  <w:color w:val="5B9BD5" w:themeColor="accent1"/>
                                </w:rPr>
                                <w:t xml:space="preserve">     </w:t>
                              </w:r>
                            </w:sdtContent>
                          </w:sdt>
                        </w:p>
                      </w:txbxContent>
                    </v:textbox>
                    <w10:wrap anchorx="margin" anchory="page"/>
                  </v:shape>
                </w:pict>
              </mc:Fallback>
            </mc:AlternateContent>
          </w:r>
          <w:r>
            <w:rPr>
              <w:noProof/>
              <w:color w:val="5B9BD5" w:themeColor="accent1"/>
            </w:rPr>
            <w:drawing>
              <wp:inline distT="0" distB="0" distL="0" distR="0" wp14:anchorId="0CBFE065" wp14:editId="38104561">
                <wp:extent cx="758952" cy="478932"/>
                <wp:effectExtent l="0" t="0" r="3175" b="0"/>
                <wp:docPr id="144"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116BE4" w:rsidRDefault="00116BE4" w:rsidP="00116BE4">
          <w:pPr>
            <w:rPr>
              <w:sz w:val="96"/>
              <w:szCs w:val="96"/>
            </w:rPr>
          </w:pPr>
          <w:r>
            <w:rPr>
              <w:sz w:val="24"/>
              <w:szCs w:val="24"/>
            </w:rPr>
            <w:br w:type="page"/>
          </w:r>
        </w:p>
        <w:p w:rsidR="00116BE4" w:rsidRDefault="00116BE4" w:rsidP="00116BE4">
          <w:pPr>
            <w:jc w:val="both"/>
            <w:rPr>
              <w:sz w:val="24"/>
              <w:szCs w:val="24"/>
            </w:rPr>
          </w:pPr>
          <w:r>
            <w:rPr>
              <w:sz w:val="24"/>
            </w:rPr>
            <w:lastRenderedPageBreak/>
            <w:t xml:space="preserve">L’an deux mil vingt et un, le 17 Juin à dix-huit heures trente, le Conseil Municipal de la Commune de MONTHENAULT, </w:t>
          </w:r>
          <w:r>
            <w:rPr>
              <w:sz w:val="24"/>
              <w:szCs w:val="24"/>
            </w:rPr>
            <w:t>légalement convoqué, s’est réuni au nombre prescrit par la loi, dans le lieu habituel de ses séances, en session ordinaire, sous la présidence de Madame Pierrette DRUET, Maire.</w:t>
          </w:r>
        </w:p>
        <w:p w:rsidR="00116BE4" w:rsidRDefault="00116BE4" w:rsidP="00116BE4">
          <w:pPr>
            <w:jc w:val="both"/>
            <w:rPr>
              <w:sz w:val="24"/>
            </w:rPr>
          </w:pPr>
          <w:r>
            <w:rPr>
              <w:sz w:val="24"/>
              <w:u w:val="single"/>
            </w:rPr>
            <w:t>Etaient présents</w:t>
          </w:r>
          <w:r>
            <w:rPr>
              <w:sz w:val="24"/>
            </w:rPr>
            <w:t> :</w:t>
          </w:r>
          <w:r w:rsidRPr="00743ADC">
            <w:rPr>
              <w:sz w:val="24"/>
            </w:rPr>
            <w:t xml:space="preserve"> </w:t>
          </w:r>
          <w:r>
            <w:rPr>
              <w:sz w:val="24"/>
            </w:rPr>
            <w:t>HARANT Jacques, DECRET Jean-Paul, DUPIN Claude, USCIDDA Sandrine,</w:t>
          </w:r>
          <w:r w:rsidRPr="00257A5C">
            <w:rPr>
              <w:sz w:val="24"/>
            </w:rPr>
            <w:t xml:space="preserve"> </w:t>
          </w:r>
          <w:r>
            <w:rPr>
              <w:sz w:val="24"/>
            </w:rPr>
            <w:t xml:space="preserve"> BOURDIN Didier, BENDERRADJI Abdelmalek. </w:t>
          </w:r>
        </w:p>
        <w:p w:rsidR="00116BE4" w:rsidRPr="00812EED" w:rsidRDefault="00116BE4" w:rsidP="00116BE4">
          <w:pPr>
            <w:jc w:val="both"/>
            <w:rPr>
              <w:sz w:val="24"/>
            </w:rPr>
          </w:pPr>
          <w:r w:rsidRPr="003A56F3">
            <w:rPr>
              <w:sz w:val="24"/>
              <w:u w:val="single"/>
            </w:rPr>
            <w:t>Absent</w:t>
          </w:r>
          <w:r>
            <w:rPr>
              <w:sz w:val="24"/>
              <w:u w:val="single"/>
            </w:rPr>
            <w:t>s excusés</w:t>
          </w:r>
          <w:r>
            <w:rPr>
              <w:sz w:val="24"/>
            </w:rPr>
            <w:t xml:space="preserve"> : THERY Blandine pouvoir à </w:t>
          </w:r>
          <w:r w:rsidRPr="00812EED">
            <w:rPr>
              <w:sz w:val="24"/>
            </w:rPr>
            <w:t>USCIDDA Sandrine</w:t>
          </w:r>
        </w:p>
        <w:p w:rsidR="00116BE4" w:rsidRDefault="00116BE4" w:rsidP="00116BE4">
          <w:pPr>
            <w:ind w:left="993" w:firstLine="708"/>
            <w:jc w:val="both"/>
            <w:rPr>
              <w:sz w:val="24"/>
            </w:rPr>
          </w:pPr>
          <w:r>
            <w:rPr>
              <w:sz w:val="24"/>
            </w:rPr>
            <w:t xml:space="preserve"> DECOUZ Henrik</w:t>
          </w:r>
          <w:r w:rsidRPr="009764EB">
            <w:rPr>
              <w:sz w:val="24"/>
            </w:rPr>
            <w:t xml:space="preserve"> </w:t>
          </w:r>
          <w:r>
            <w:rPr>
              <w:sz w:val="24"/>
            </w:rPr>
            <w:t>pouvoir à DRUET Pierrette</w:t>
          </w:r>
        </w:p>
        <w:p w:rsidR="00116BE4" w:rsidRDefault="00116BE4" w:rsidP="00116BE4">
          <w:pPr>
            <w:ind w:left="993" w:firstLine="708"/>
            <w:jc w:val="both"/>
            <w:rPr>
              <w:sz w:val="24"/>
            </w:rPr>
          </w:pPr>
          <w:r>
            <w:rPr>
              <w:sz w:val="24"/>
            </w:rPr>
            <w:t xml:space="preserve">ALVES </w:t>
          </w:r>
          <w:proofErr w:type="gramStart"/>
          <w:r>
            <w:rPr>
              <w:sz w:val="24"/>
            </w:rPr>
            <w:t>DE OLIVEIRA</w:t>
          </w:r>
          <w:proofErr w:type="gramEnd"/>
          <w:r>
            <w:rPr>
              <w:sz w:val="24"/>
            </w:rPr>
            <w:t xml:space="preserve"> Françoise, DE BISSCHOP Laurent.</w:t>
          </w:r>
        </w:p>
        <w:p w:rsidR="00116BE4" w:rsidRDefault="00116BE4" w:rsidP="00116BE4">
          <w:pPr>
            <w:numPr>
              <w:ilvl w:val="0"/>
              <w:numId w:val="1"/>
            </w:numPr>
            <w:suppressAutoHyphens/>
            <w:overflowPunct w:val="0"/>
            <w:autoSpaceDE w:val="0"/>
            <w:spacing w:after="0" w:line="240" w:lineRule="auto"/>
            <w:ind w:left="284" w:hanging="299"/>
            <w:jc w:val="both"/>
            <w:textAlignment w:val="baseline"/>
            <w:rPr>
              <w:b/>
              <w:sz w:val="24"/>
              <w:szCs w:val="24"/>
            </w:rPr>
          </w:pPr>
          <w:r>
            <w:rPr>
              <w:b/>
              <w:sz w:val="24"/>
              <w:szCs w:val="24"/>
              <w:u w:val="single"/>
            </w:rPr>
            <w:t xml:space="preserve">Aménagement de sécurité sur la RD 967 – Convention de prestations avec l’ADICA </w:t>
          </w:r>
          <w:r w:rsidRPr="004E7CFC">
            <w:rPr>
              <w:b/>
              <w:sz w:val="24"/>
              <w:szCs w:val="24"/>
            </w:rPr>
            <w:t>:</w:t>
          </w:r>
        </w:p>
        <w:p w:rsidR="00116BE4" w:rsidRPr="00A37375" w:rsidRDefault="00116BE4" w:rsidP="00116BE4">
          <w:pPr>
            <w:jc w:val="both"/>
            <w:rPr>
              <w:bCs/>
              <w:sz w:val="24"/>
              <w:szCs w:val="24"/>
            </w:rPr>
          </w:pPr>
          <w:r w:rsidRPr="00A37375">
            <w:rPr>
              <w:bCs/>
              <w:sz w:val="24"/>
              <w:szCs w:val="24"/>
            </w:rPr>
            <w:t>M. BOURDIN explique son désaccord avec le fait que</w:t>
          </w:r>
          <w:r>
            <w:rPr>
              <w:bCs/>
              <w:sz w:val="24"/>
              <w:szCs w:val="24"/>
            </w:rPr>
            <w:t xml:space="preserve"> c’est</w:t>
          </w:r>
          <w:r w:rsidRPr="00A37375">
            <w:rPr>
              <w:bCs/>
              <w:sz w:val="24"/>
              <w:szCs w:val="24"/>
            </w:rPr>
            <w:t xml:space="preserve"> la commune</w:t>
          </w:r>
          <w:r>
            <w:rPr>
              <w:bCs/>
              <w:sz w:val="24"/>
              <w:szCs w:val="24"/>
            </w:rPr>
            <w:t xml:space="preserve"> qui doit prendre en charge les travaux de sécurisation de la D967, il pense que c’est le département qui devrait avoir la compétence.</w:t>
          </w:r>
          <w:r w:rsidRPr="00A37375">
            <w:rPr>
              <w:bCs/>
              <w:sz w:val="24"/>
              <w:szCs w:val="24"/>
            </w:rPr>
            <w:t xml:space="preserve"> </w:t>
          </w:r>
        </w:p>
        <w:p w:rsidR="00116BE4" w:rsidRPr="007D2D8C" w:rsidRDefault="00116BE4" w:rsidP="00116BE4">
          <w:pPr>
            <w:widowControl w:val="0"/>
            <w:autoSpaceDN w:val="0"/>
            <w:adjustRightInd w:val="0"/>
            <w:jc w:val="both"/>
            <w:rPr>
              <w:sz w:val="24"/>
              <w:szCs w:val="24"/>
              <w:lang w:eastAsia="fr-FR"/>
            </w:rPr>
          </w:pPr>
          <w:r w:rsidRPr="007D2D8C">
            <w:rPr>
              <w:sz w:val="24"/>
              <w:szCs w:val="24"/>
              <w:lang w:eastAsia="fr-FR"/>
            </w:rPr>
            <w:t xml:space="preserve">Concernant le marché cité en objet, après en avoir délibéré, le Conseil Municipal décide, </w:t>
          </w:r>
          <w:r>
            <w:rPr>
              <w:sz w:val="24"/>
              <w:szCs w:val="24"/>
              <w:lang w:eastAsia="fr-FR"/>
            </w:rPr>
            <w:t>par 8 voix pour, une contre</w:t>
          </w:r>
          <w:r w:rsidRPr="007D2D8C">
            <w:rPr>
              <w:sz w:val="24"/>
              <w:szCs w:val="24"/>
              <w:lang w:eastAsia="fr-FR"/>
            </w:rPr>
            <w:t>:</w:t>
          </w:r>
        </w:p>
        <w:p w:rsidR="00116BE4" w:rsidRPr="007D2D8C"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d’autoriser le Maire à signer la convention de prestations avec l’ADICA ;</w:t>
          </w:r>
        </w:p>
        <w:p w:rsidR="00116BE4" w:rsidRPr="007D2D8C"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d’autoriser le Maire à signer la convention de maîtrise d’ouvrage ou la permission de voirie avec le Conseil Départemental ;</w:t>
          </w:r>
        </w:p>
        <w:p w:rsidR="00116BE4" w:rsidRPr="007D2D8C"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de nommer le Maire représentant du pouvoir adjudicateur ;</w:t>
          </w:r>
        </w:p>
        <w:p w:rsidR="00116BE4" w:rsidRPr="007D2D8C"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d’autoriser le Maire à signer toutes les pièces du marché pour un montant prévisionnel inférieur à 90 000,00 € H.T, comme le prévoit l’article L 2122.21.1 du code des collectivités territoriales ;</w:t>
          </w:r>
        </w:p>
        <w:p w:rsidR="00116BE4" w:rsidRPr="007D2D8C"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d’engager une passation du marché selon la procédure adaptée conformément à l’article 27 du décret 2016-360 du 25/03/2016 ;</w:t>
          </w:r>
        </w:p>
        <w:p w:rsidR="00116BE4" w:rsidRPr="007D2D8C"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que l’appel public à la concurrence sera formalisé par :</w:t>
          </w:r>
        </w:p>
        <w:p w:rsidR="00116BE4" w:rsidRPr="007D2D8C" w:rsidRDefault="00116BE4" w:rsidP="00116BE4">
          <w:pPr>
            <w:widowControl w:val="0"/>
            <w:numPr>
              <w:ilvl w:val="0"/>
              <w:numId w:val="3"/>
            </w:numPr>
            <w:autoSpaceDN w:val="0"/>
            <w:adjustRightInd w:val="0"/>
            <w:spacing w:after="0" w:line="240" w:lineRule="auto"/>
            <w:ind w:left="0" w:firstLine="567"/>
            <w:jc w:val="both"/>
            <w:rPr>
              <w:sz w:val="24"/>
              <w:szCs w:val="24"/>
              <w:lang w:eastAsia="fr-FR"/>
            </w:rPr>
          </w:pPr>
          <w:r w:rsidRPr="007D2D8C">
            <w:rPr>
              <w:sz w:val="24"/>
              <w:szCs w:val="24"/>
              <w:lang w:eastAsia="fr-FR"/>
            </w:rPr>
            <w:t>une annonce publiée et affichée en mairie ;</w:t>
          </w:r>
        </w:p>
        <w:p w:rsidR="00116BE4" w:rsidRPr="007D2D8C" w:rsidRDefault="00116BE4" w:rsidP="00116BE4">
          <w:pPr>
            <w:widowControl w:val="0"/>
            <w:numPr>
              <w:ilvl w:val="0"/>
              <w:numId w:val="3"/>
            </w:numPr>
            <w:autoSpaceDN w:val="0"/>
            <w:adjustRightInd w:val="0"/>
            <w:spacing w:after="0" w:line="240" w:lineRule="auto"/>
            <w:ind w:left="0" w:firstLine="567"/>
            <w:jc w:val="both"/>
            <w:rPr>
              <w:sz w:val="24"/>
              <w:szCs w:val="24"/>
              <w:lang w:eastAsia="fr-FR"/>
            </w:rPr>
          </w:pPr>
          <w:r w:rsidRPr="007D2D8C">
            <w:rPr>
              <w:sz w:val="24"/>
              <w:szCs w:val="24"/>
              <w:lang w:eastAsia="fr-FR"/>
            </w:rPr>
            <w:t>un envoi de dossier de consultation ;</w:t>
          </w:r>
        </w:p>
        <w:p w:rsidR="00116BE4" w:rsidRDefault="00116BE4" w:rsidP="00116BE4">
          <w:pPr>
            <w:widowControl w:val="0"/>
            <w:numPr>
              <w:ilvl w:val="0"/>
              <w:numId w:val="2"/>
            </w:numPr>
            <w:tabs>
              <w:tab w:val="clear" w:pos="0"/>
            </w:tabs>
            <w:autoSpaceDN w:val="0"/>
            <w:adjustRightInd w:val="0"/>
            <w:spacing w:after="0" w:line="240" w:lineRule="auto"/>
            <w:ind w:left="284" w:hanging="284"/>
            <w:jc w:val="both"/>
            <w:rPr>
              <w:sz w:val="24"/>
              <w:szCs w:val="24"/>
              <w:lang w:eastAsia="fr-FR"/>
            </w:rPr>
          </w:pPr>
          <w:r w:rsidRPr="007D2D8C">
            <w:rPr>
              <w:sz w:val="24"/>
              <w:szCs w:val="24"/>
              <w:lang w:eastAsia="fr-FR"/>
            </w:rPr>
            <w:t>que le marché sera attribué au soumissionnaire présentant l’offre jugée économiquement la plus avantageuse au regard des critères indiqués dans le règlement de consultation.</w:t>
          </w:r>
        </w:p>
        <w:p w:rsidR="00116BE4" w:rsidRPr="007D2D8C" w:rsidRDefault="00116BE4" w:rsidP="00116BE4">
          <w:pPr>
            <w:widowControl w:val="0"/>
            <w:autoSpaceDN w:val="0"/>
            <w:adjustRightInd w:val="0"/>
            <w:jc w:val="both"/>
            <w:rPr>
              <w:sz w:val="24"/>
              <w:szCs w:val="24"/>
              <w:lang w:eastAsia="fr-FR"/>
            </w:rPr>
          </w:pPr>
          <w:r>
            <w:rPr>
              <w:sz w:val="24"/>
              <w:szCs w:val="24"/>
              <w:lang w:eastAsia="fr-FR"/>
            </w:rPr>
            <w:t>Cette délibération annule et remplace la délibération n°2017/14 du 22/06/2017</w:t>
          </w:r>
        </w:p>
        <w:p w:rsidR="00116BE4" w:rsidRDefault="00116BE4" w:rsidP="00116BE4">
          <w:pPr>
            <w:numPr>
              <w:ilvl w:val="0"/>
              <w:numId w:val="1"/>
            </w:numPr>
            <w:suppressAutoHyphens/>
            <w:overflowPunct w:val="0"/>
            <w:autoSpaceDE w:val="0"/>
            <w:spacing w:after="0" w:line="240" w:lineRule="auto"/>
            <w:ind w:left="426" w:hanging="426"/>
            <w:jc w:val="both"/>
            <w:textAlignment w:val="baseline"/>
            <w:rPr>
              <w:b/>
              <w:sz w:val="24"/>
              <w:szCs w:val="24"/>
            </w:rPr>
          </w:pPr>
          <w:r w:rsidRPr="00E16246">
            <w:rPr>
              <w:b/>
              <w:sz w:val="24"/>
              <w:szCs w:val="24"/>
              <w:u w:val="single"/>
            </w:rPr>
            <w:t xml:space="preserve">Demande de fonds de concours </w:t>
          </w:r>
          <w:r>
            <w:rPr>
              <w:b/>
              <w:sz w:val="24"/>
              <w:szCs w:val="24"/>
              <w:u w:val="single"/>
            </w:rPr>
            <w:t>auprès de la CAPL - A</w:t>
          </w:r>
          <w:r w:rsidRPr="00E16246">
            <w:rPr>
              <w:b/>
              <w:sz w:val="24"/>
              <w:szCs w:val="24"/>
              <w:u w:val="single"/>
            </w:rPr>
            <w:t xml:space="preserve">ménagement </w:t>
          </w:r>
          <w:r>
            <w:rPr>
              <w:b/>
              <w:sz w:val="24"/>
              <w:szCs w:val="24"/>
              <w:u w:val="single"/>
            </w:rPr>
            <w:t xml:space="preserve">de </w:t>
          </w:r>
          <w:r w:rsidRPr="00E16246">
            <w:rPr>
              <w:b/>
              <w:sz w:val="24"/>
              <w:szCs w:val="24"/>
              <w:u w:val="single"/>
            </w:rPr>
            <w:t xml:space="preserve">sécurité </w:t>
          </w:r>
          <w:r>
            <w:rPr>
              <w:b/>
              <w:sz w:val="24"/>
              <w:szCs w:val="24"/>
              <w:u w:val="single"/>
            </w:rPr>
            <w:t xml:space="preserve">sur la </w:t>
          </w:r>
          <w:r w:rsidRPr="00E16246">
            <w:rPr>
              <w:b/>
              <w:sz w:val="24"/>
              <w:szCs w:val="24"/>
              <w:u w:val="single"/>
            </w:rPr>
            <w:t>RD 967</w:t>
          </w:r>
          <w:r>
            <w:rPr>
              <w:b/>
              <w:sz w:val="24"/>
              <w:szCs w:val="24"/>
            </w:rPr>
            <w:t> :</w:t>
          </w:r>
        </w:p>
        <w:p w:rsidR="00116BE4" w:rsidRDefault="00116BE4" w:rsidP="00116BE4">
          <w:pPr>
            <w:jc w:val="both"/>
            <w:rPr>
              <w:sz w:val="24"/>
              <w:szCs w:val="24"/>
            </w:rPr>
          </w:pPr>
          <w:r>
            <w:rPr>
              <w:sz w:val="24"/>
              <w:szCs w:val="24"/>
            </w:rPr>
            <w:t>L’article L5216 – 5 VI du Code Général des Collectivités Territoriales et la délibération du 13 février 2020 du Conseil communautaire de la Communauté d’Agglomération du Pays de Laon permettent à la Communauté d’Agglomération du Pays de Laon de verser un fonds de concours à ses Communes membres, après délibérations concordantes du Conseil communautaire et du Conseil municipal concerné.</w:t>
          </w:r>
        </w:p>
        <w:p w:rsidR="00116BE4" w:rsidRDefault="00116BE4" w:rsidP="00116BE4">
          <w:pPr>
            <w:jc w:val="both"/>
            <w:rPr>
              <w:sz w:val="24"/>
              <w:szCs w:val="24"/>
            </w:rPr>
          </w:pPr>
          <w:r>
            <w:rPr>
              <w:sz w:val="24"/>
              <w:szCs w:val="24"/>
            </w:rPr>
            <w:t>Le Fonds de concours sert à participer au financement d’investissements communaux menés sous maîtrise d’ouvrage communale (travaux divers, acquisition de matériels….).</w:t>
          </w:r>
        </w:p>
        <w:p w:rsidR="00116BE4" w:rsidRDefault="00116BE4" w:rsidP="00116BE4">
          <w:pPr>
            <w:jc w:val="both"/>
            <w:rPr>
              <w:sz w:val="24"/>
              <w:szCs w:val="24"/>
            </w:rPr>
          </w:pPr>
          <w:r>
            <w:rPr>
              <w:sz w:val="24"/>
              <w:szCs w:val="24"/>
            </w:rPr>
            <w:t xml:space="preserve">Le montant total du Fonds de concours ne peut excéder la part du financement assurée, hors subvention, par le bénéficiaire de ce Fonds. </w:t>
          </w:r>
        </w:p>
        <w:p w:rsidR="00116BE4" w:rsidRDefault="00116BE4" w:rsidP="00116BE4">
          <w:pPr>
            <w:jc w:val="both"/>
            <w:rPr>
              <w:sz w:val="24"/>
              <w:szCs w:val="24"/>
            </w:rPr>
          </w:pPr>
          <w:r>
            <w:rPr>
              <w:sz w:val="24"/>
              <w:szCs w:val="24"/>
            </w:rPr>
            <w:t>La participation minimale de la commune est de 20% du montant total des financements apportés au projet par des personnes publiques.</w:t>
          </w:r>
        </w:p>
        <w:p w:rsidR="00116BE4" w:rsidRDefault="00116BE4" w:rsidP="00116BE4">
          <w:pPr>
            <w:jc w:val="both"/>
            <w:rPr>
              <w:sz w:val="24"/>
              <w:szCs w:val="24"/>
            </w:rPr>
          </w:pPr>
          <w:r>
            <w:rPr>
              <w:sz w:val="24"/>
              <w:szCs w:val="24"/>
            </w:rPr>
            <w:t>Je vous propose de solliciter auprès de la Communauté d’Agglomération du Pays de Laon, un Fonds de concours afin de participer aux dépenses liées à l’opération n°1 – Aménagement de Sécurité sur la RD 967.</w:t>
          </w:r>
        </w:p>
        <w:p w:rsidR="00116BE4" w:rsidRDefault="00116BE4" w:rsidP="00116BE4">
          <w:pPr>
            <w:jc w:val="both"/>
            <w:rPr>
              <w:sz w:val="24"/>
              <w:szCs w:val="24"/>
            </w:rPr>
          </w:pPr>
          <w:r>
            <w:rPr>
              <w:sz w:val="24"/>
              <w:szCs w:val="24"/>
            </w:rPr>
            <w:t>Le plan prévisionnel du projet s’établit comme suit :</w:t>
          </w:r>
        </w:p>
        <w:p w:rsidR="00116BE4" w:rsidRPr="0028316A" w:rsidRDefault="00116BE4" w:rsidP="00116BE4">
          <w:pPr>
            <w:jc w:val="both"/>
            <w:rPr>
              <w:sz w:val="16"/>
              <w:szCs w:val="16"/>
            </w:rPr>
          </w:pPr>
        </w:p>
        <w:p w:rsidR="00116BE4" w:rsidRPr="0091061C" w:rsidRDefault="00116BE4" w:rsidP="00116BE4">
          <w:pPr>
            <w:jc w:val="both"/>
            <w:rPr>
              <w:b/>
              <w:bCs/>
              <w:sz w:val="24"/>
              <w:szCs w:val="24"/>
            </w:rPr>
          </w:pPr>
          <w:r w:rsidRPr="0091061C">
            <w:rPr>
              <w:b/>
              <w:bCs/>
              <w:sz w:val="24"/>
              <w:szCs w:val="24"/>
            </w:rPr>
            <w:t>Dépenses hors taxes :</w:t>
          </w:r>
        </w:p>
        <w:p w:rsidR="00116BE4" w:rsidRDefault="00116BE4" w:rsidP="00116BE4">
          <w:pPr>
            <w:numPr>
              <w:ilvl w:val="0"/>
              <w:numId w:val="4"/>
            </w:numPr>
            <w:suppressAutoHyphens/>
            <w:overflowPunct w:val="0"/>
            <w:autoSpaceDE w:val="0"/>
            <w:spacing w:after="0" w:line="240" w:lineRule="auto"/>
            <w:jc w:val="both"/>
            <w:textAlignment w:val="baseline"/>
            <w:rPr>
              <w:sz w:val="24"/>
              <w:szCs w:val="24"/>
            </w:rPr>
          </w:pPr>
          <w:r>
            <w:rPr>
              <w:sz w:val="24"/>
              <w:szCs w:val="24"/>
            </w:rPr>
            <w:t xml:space="preserve">Montant des travaux : </w:t>
          </w:r>
          <w:r>
            <w:rPr>
              <w:sz w:val="24"/>
              <w:szCs w:val="24"/>
            </w:rPr>
            <w:tab/>
          </w:r>
          <w:r>
            <w:rPr>
              <w:sz w:val="24"/>
              <w:szCs w:val="24"/>
            </w:rPr>
            <w:tab/>
            <w:t>46 927,00 €</w:t>
          </w:r>
        </w:p>
        <w:p w:rsidR="00116BE4" w:rsidRDefault="00116BE4" w:rsidP="00116BE4">
          <w:pPr>
            <w:numPr>
              <w:ilvl w:val="0"/>
              <w:numId w:val="4"/>
            </w:numPr>
            <w:suppressAutoHyphens/>
            <w:overflowPunct w:val="0"/>
            <w:autoSpaceDE w:val="0"/>
            <w:spacing w:after="0" w:line="240" w:lineRule="auto"/>
            <w:jc w:val="both"/>
            <w:textAlignment w:val="baseline"/>
            <w:rPr>
              <w:sz w:val="24"/>
              <w:szCs w:val="24"/>
            </w:rPr>
          </w:pPr>
          <w:r>
            <w:rPr>
              <w:sz w:val="24"/>
              <w:szCs w:val="24"/>
            </w:rPr>
            <w:t>Maîtrise d’œuvre :</w:t>
          </w:r>
          <w:r>
            <w:rPr>
              <w:sz w:val="24"/>
              <w:szCs w:val="24"/>
            </w:rPr>
            <w:tab/>
          </w:r>
          <w:r>
            <w:rPr>
              <w:sz w:val="24"/>
              <w:szCs w:val="24"/>
            </w:rPr>
            <w:tab/>
          </w:r>
          <w:r>
            <w:rPr>
              <w:sz w:val="24"/>
              <w:szCs w:val="24"/>
            </w:rPr>
            <w:tab/>
            <w:t xml:space="preserve">  1 770,08 €</w:t>
          </w:r>
          <w:r>
            <w:rPr>
              <w:sz w:val="24"/>
              <w:szCs w:val="24"/>
            </w:rPr>
            <w:tab/>
          </w:r>
        </w:p>
        <w:p w:rsidR="00116BE4" w:rsidRDefault="00116BE4" w:rsidP="00116BE4">
          <w:pPr>
            <w:ind w:left="4248"/>
            <w:jc w:val="both"/>
            <w:rPr>
              <w:sz w:val="24"/>
              <w:szCs w:val="24"/>
            </w:rPr>
          </w:pPr>
          <w:r>
            <w:rPr>
              <w:sz w:val="24"/>
              <w:szCs w:val="24"/>
            </w:rPr>
            <w:t>----------------</w:t>
          </w:r>
        </w:p>
        <w:p w:rsidR="00116BE4" w:rsidRDefault="00116BE4" w:rsidP="00116BE4">
          <w:pPr>
            <w:jc w:val="both"/>
            <w:rPr>
              <w:sz w:val="24"/>
              <w:szCs w:val="24"/>
            </w:rPr>
          </w:pPr>
          <w:r w:rsidRPr="00F52B0E">
            <w:rPr>
              <w:b/>
              <w:bCs/>
              <w:sz w:val="24"/>
              <w:szCs w:val="24"/>
            </w:rPr>
            <w:t>Montant global H.T</w:t>
          </w:r>
          <w:r>
            <w:rPr>
              <w:sz w:val="24"/>
              <w:szCs w:val="24"/>
            </w:rPr>
            <w:t xml:space="preserve"> :</w:t>
          </w:r>
          <w:r>
            <w:rPr>
              <w:sz w:val="24"/>
              <w:szCs w:val="24"/>
            </w:rPr>
            <w:tab/>
          </w:r>
          <w:r>
            <w:rPr>
              <w:sz w:val="24"/>
              <w:szCs w:val="24"/>
            </w:rPr>
            <w:tab/>
          </w:r>
          <w:r>
            <w:rPr>
              <w:sz w:val="24"/>
              <w:szCs w:val="24"/>
            </w:rPr>
            <w:tab/>
            <w:t>48 697,08 €</w:t>
          </w:r>
        </w:p>
        <w:p w:rsidR="00116BE4" w:rsidRPr="0028316A" w:rsidRDefault="00116BE4" w:rsidP="00116BE4">
          <w:pPr>
            <w:jc w:val="both"/>
            <w:rPr>
              <w:sz w:val="16"/>
              <w:szCs w:val="16"/>
            </w:rPr>
          </w:pPr>
        </w:p>
        <w:p w:rsidR="00116BE4" w:rsidRPr="00F52B0E" w:rsidRDefault="00116BE4" w:rsidP="00116BE4">
          <w:pPr>
            <w:jc w:val="both"/>
            <w:rPr>
              <w:b/>
              <w:bCs/>
              <w:sz w:val="24"/>
              <w:szCs w:val="24"/>
            </w:rPr>
          </w:pPr>
          <w:r w:rsidRPr="00F52B0E">
            <w:rPr>
              <w:b/>
              <w:bCs/>
              <w:sz w:val="24"/>
              <w:szCs w:val="24"/>
            </w:rPr>
            <w:t>Recettes :</w:t>
          </w:r>
        </w:p>
        <w:p w:rsidR="00116BE4" w:rsidRPr="00CE6E39" w:rsidRDefault="00116BE4" w:rsidP="00116BE4">
          <w:pPr>
            <w:numPr>
              <w:ilvl w:val="0"/>
              <w:numId w:val="4"/>
            </w:numPr>
            <w:suppressAutoHyphens/>
            <w:overflowPunct w:val="0"/>
            <w:autoSpaceDE w:val="0"/>
            <w:spacing w:after="0" w:line="240" w:lineRule="auto"/>
            <w:jc w:val="both"/>
            <w:textAlignment w:val="baseline"/>
            <w:rPr>
              <w:sz w:val="24"/>
              <w:szCs w:val="24"/>
            </w:rPr>
          </w:pPr>
          <w:r>
            <w:rPr>
              <w:sz w:val="24"/>
              <w:szCs w:val="24"/>
            </w:rPr>
            <w:t xml:space="preserve">Fonds de concours : </w:t>
          </w:r>
          <w:r>
            <w:rPr>
              <w:sz w:val="24"/>
              <w:szCs w:val="24"/>
            </w:rPr>
            <w:tab/>
          </w:r>
          <w:r>
            <w:rPr>
              <w:sz w:val="24"/>
              <w:szCs w:val="24"/>
            </w:rPr>
            <w:tab/>
          </w:r>
          <w:r>
            <w:rPr>
              <w:sz w:val="24"/>
              <w:szCs w:val="24"/>
            </w:rPr>
            <w:tab/>
          </w:r>
          <w:r w:rsidRPr="00CE6E39">
            <w:rPr>
              <w:sz w:val="24"/>
              <w:szCs w:val="24"/>
            </w:rPr>
            <w:t>10 901,91 €</w:t>
          </w:r>
        </w:p>
        <w:p w:rsidR="00116BE4" w:rsidRDefault="00116BE4" w:rsidP="00116BE4">
          <w:pPr>
            <w:numPr>
              <w:ilvl w:val="0"/>
              <w:numId w:val="4"/>
            </w:numPr>
            <w:suppressAutoHyphens/>
            <w:overflowPunct w:val="0"/>
            <w:autoSpaceDE w:val="0"/>
            <w:spacing w:after="0" w:line="240" w:lineRule="auto"/>
            <w:jc w:val="both"/>
            <w:textAlignment w:val="baseline"/>
            <w:rPr>
              <w:sz w:val="24"/>
              <w:szCs w:val="24"/>
            </w:rPr>
          </w:pPr>
          <w:r>
            <w:rPr>
              <w:sz w:val="24"/>
              <w:szCs w:val="24"/>
            </w:rPr>
            <w:t>Amendes de police :</w:t>
          </w:r>
          <w:r>
            <w:rPr>
              <w:sz w:val="24"/>
              <w:szCs w:val="24"/>
            </w:rPr>
            <w:tab/>
          </w:r>
          <w:r>
            <w:rPr>
              <w:sz w:val="24"/>
              <w:szCs w:val="24"/>
            </w:rPr>
            <w:tab/>
          </w:r>
          <w:r>
            <w:rPr>
              <w:sz w:val="24"/>
              <w:szCs w:val="24"/>
            </w:rPr>
            <w:tab/>
            <w:t>21 613,25 €</w:t>
          </w:r>
        </w:p>
        <w:p w:rsidR="00116BE4" w:rsidRDefault="00116BE4" w:rsidP="00116BE4">
          <w:pPr>
            <w:numPr>
              <w:ilvl w:val="0"/>
              <w:numId w:val="4"/>
            </w:numPr>
            <w:suppressAutoHyphens/>
            <w:overflowPunct w:val="0"/>
            <w:autoSpaceDE w:val="0"/>
            <w:spacing w:after="0" w:line="240" w:lineRule="auto"/>
            <w:jc w:val="both"/>
            <w:textAlignment w:val="baseline"/>
            <w:rPr>
              <w:sz w:val="24"/>
              <w:szCs w:val="24"/>
            </w:rPr>
          </w:pPr>
          <w:r>
            <w:rPr>
              <w:sz w:val="24"/>
              <w:szCs w:val="24"/>
            </w:rPr>
            <w:t>APV :</w:t>
          </w:r>
          <w:r>
            <w:rPr>
              <w:sz w:val="24"/>
              <w:szCs w:val="24"/>
            </w:rPr>
            <w:tab/>
          </w:r>
          <w:r>
            <w:rPr>
              <w:sz w:val="24"/>
              <w:szCs w:val="24"/>
            </w:rPr>
            <w:tab/>
          </w:r>
          <w:r>
            <w:rPr>
              <w:sz w:val="24"/>
              <w:szCs w:val="24"/>
            </w:rPr>
            <w:tab/>
          </w:r>
          <w:r>
            <w:rPr>
              <w:sz w:val="24"/>
              <w:szCs w:val="24"/>
            </w:rPr>
            <w:tab/>
          </w:r>
          <w:r>
            <w:rPr>
              <w:sz w:val="24"/>
              <w:szCs w:val="24"/>
            </w:rPr>
            <w:tab/>
            <w:t xml:space="preserve">  5 280,00 €</w:t>
          </w:r>
        </w:p>
        <w:p w:rsidR="00116BE4" w:rsidRPr="00CE6E39" w:rsidRDefault="00116BE4" w:rsidP="00116BE4">
          <w:pPr>
            <w:numPr>
              <w:ilvl w:val="0"/>
              <w:numId w:val="4"/>
            </w:numPr>
            <w:suppressAutoHyphens/>
            <w:overflowPunct w:val="0"/>
            <w:autoSpaceDE w:val="0"/>
            <w:spacing w:after="0" w:line="240" w:lineRule="auto"/>
            <w:jc w:val="both"/>
            <w:textAlignment w:val="baseline"/>
            <w:rPr>
              <w:sz w:val="24"/>
              <w:szCs w:val="24"/>
            </w:rPr>
          </w:pPr>
          <w:r>
            <w:rPr>
              <w:sz w:val="24"/>
              <w:szCs w:val="24"/>
            </w:rPr>
            <w:t>Fonds propres :</w:t>
          </w:r>
          <w:r>
            <w:rPr>
              <w:sz w:val="24"/>
              <w:szCs w:val="24"/>
            </w:rPr>
            <w:tab/>
          </w:r>
          <w:r>
            <w:rPr>
              <w:sz w:val="24"/>
              <w:szCs w:val="24"/>
            </w:rPr>
            <w:tab/>
          </w:r>
          <w:r>
            <w:rPr>
              <w:sz w:val="24"/>
              <w:szCs w:val="24"/>
            </w:rPr>
            <w:tab/>
          </w:r>
          <w:r w:rsidRPr="00CE6E39">
            <w:rPr>
              <w:sz w:val="24"/>
              <w:szCs w:val="24"/>
            </w:rPr>
            <w:t>10 901,92 €</w:t>
          </w:r>
        </w:p>
        <w:p w:rsidR="00116BE4" w:rsidRPr="0028316A" w:rsidRDefault="00116BE4" w:rsidP="00116BE4">
          <w:pPr>
            <w:jc w:val="both"/>
            <w:rPr>
              <w:sz w:val="16"/>
              <w:szCs w:val="16"/>
            </w:rPr>
          </w:pPr>
        </w:p>
        <w:p w:rsidR="00116BE4" w:rsidRDefault="00116BE4" w:rsidP="00116BE4">
          <w:pPr>
            <w:jc w:val="both"/>
            <w:rPr>
              <w:sz w:val="24"/>
              <w:szCs w:val="24"/>
            </w:rPr>
          </w:pPr>
          <w:r>
            <w:rPr>
              <w:sz w:val="24"/>
              <w:szCs w:val="24"/>
            </w:rPr>
            <w:t>Précise que le Fonds de concours sera imputé au compte 1348 du budget principal de la commune.</w:t>
          </w:r>
        </w:p>
        <w:p w:rsidR="00116BE4" w:rsidRDefault="00116BE4" w:rsidP="00116BE4">
          <w:pPr>
            <w:jc w:val="both"/>
            <w:rPr>
              <w:sz w:val="24"/>
              <w:szCs w:val="24"/>
            </w:rPr>
          </w:pPr>
          <w:r>
            <w:rPr>
              <w:sz w:val="24"/>
              <w:szCs w:val="24"/>
            </w:rPr>
            <w:t>Autorise le maire à signer tous documents se rapportant à ce dossier.</w:t>
          </w:r>
        </w:p>
        <w:p w:rsidR="00116BE4" w:rsidRDefault="00116BE4" w:rsidP="00116BE4">
          <w:pPr>
            <w:jc w:val="both"/>
            <w:rPr>
              <w:bCs/>
              <w:sz w:val="24"/>
              <w:szCs w:val="24"/>
            </w:rPr>
          </w:pPr>
          <w:r>
            <w:rPr>
              <w:bCs/>
              <w:sz w:val="24"/>
              <w:szCs w:val="24"/>
            </w:rPr>
            <w:t>Cette délibération annule et remplace les délibérations n°2021/07 et 2021/08 du 01/04/2021.</w:t>
          </w:r>
        </w:p>
        <w:p w:rsidR="00116BE4" w:rsidRDefault="00116BE4" w:rsidP="00116BE4">
          <w:pPr>
            <w:pStyle w:val="Paragraphedeliste"/>
            <w:ind w:left="0"/>
            <w:rPr>
              <w:b/>
              <w:sz w:val="24"/>
              <w:szCs w:val="24"/>
            </w:rPr>
          </w:pPr>
        </w:p>
        <w:p w:rsidR="00116BE4" w:rsidRDefault="00116BE4" w:rsidP="00116BE4">
          <w:pPr>
            <w:numPr>
              <w:ilvl w:val="0"/>
              <w:numId w:val="1"/>
            </w:numPr>
            <w:suppressAutoHyphens/>
            <w:overflowPunct w:val="0"/>
            <w:autoSpaceDE w:val="0"/>
            <w:spacing w:after="0" w:line="240" w:lineRule="auto"/>
            <w:ind w:left="426" w:hanging="426"/>
            <w:jc w:val="both"/>
            <w:textAlignment w:val="baseline"/>
            <w:rPr>
              <w:b/>
              <w:sz w:val="24"/>
              <w:szCs w:val="24"/>
            </w:rPr>
          </w:pPr>
          <w:r>
            <w:rPr>
              <w:b/>
              <w:sz w:val="24"/>
              <w:szCs w:val="24"/>
              <w:u w:val="single"/>
            </w:rPr>
            <w:t>Demande de ligne de trésorerie</w:t>
          </w:r>
          <w:r>
            <w:rPr>
              <w:b/>
              <w:sz w:val="24"/>
              <w:szCs w:val="24"/>
            </w:rPr>
            <w:t> :</w:t>
          </w:r>
        </w:p>
        <w:p w:rsidR="00116BE4" w:rsidRPr="003576A4" w:rsidRDefault="00116BE4" w:rsidP="00116BE4">
          <w:pPr>
            <w:autoSpaceDN w:val="0"/>
            <w:adjustRightInd w:val="0"/>
            <w:jc w:val="both"/>
            <w:rPr>
              <w:sz w:val="24"/>
              <w:szCs w:val="24"/>
              <w:lang w:eastAsia="fr-FR"/>
            </w:rPr>
          </w:pPr>
          <w:r w:rsidRPr="003576A4">
            <w:rPr>
              <w:sz w:val="24"/>
              <w:szCs w:val="24"/>
              <w:lang w:eastAsia="fr-FR"/>
            </w:rPr>
            <w:t>Madame le Maire rappelle aux Membres présents, le projet envisagé par la Collectivité, objet de la présente demande de financement, à savoir : Travaux d’Aménagement de sécurité de la RD 967.</w:t>
          </w:r>
        </w:p>
        <w:p w:rsidR="00116BE4" w:rsidRPr="003576A4" w:rsidRDefault="00116BE4" w:rsidP="00116BE4">
          <w:pPr>
            <w:autoSpaceDN w:val="0"/>
            <w:adjustRightInd w:val="0"/>
            <w:jc w:val="both"/>
            <w:rPr>
              <w:sz w:val="24"/>
              <w:szCs w:val="24"/>
              <w:lang w:eastAsia="fr-FR"/>
            </w:rPr>
          </w:pPr>
          <w:r w:rsidRPr="003576A4">
            <w:rPr>
              <w:sz w:val="24"/>
              <w:szCs w:val="24"/>
              <w:lang w:eastAsia="fr-FR"/>
            </w:rPr>
            <w:t xml:space="preserve">Elle expose que ce projet comporte l'exécution d'un programme de travaux dont elle soumet le mémoire justificatif et dont le devis s'élève à </w:t>
          </w:r>
          <w:r>
            <w:rPr>
              <w:sz w:val="24"/>
              <w:szCs w:val="24"/>
              <w:lang w:eastAsia="fr-FR"/>
            </w:rPr>
            <w:t>58 436,10 €</w:t>
          </w:r>
          <w:r w:rsidRPr="003576A4">
            <w:rPr>
              <w:sz w:val="24"/>
              <w:szCs w:val="24"/>
              <w:lang w:eastAsia="fr-FR"/>
            </w:rPr>
            <w:t xml:space="preserve"> T.T.C.</w:t>
          </w:r>
        </w:p>
        <w:p w:rsidR="00116BE4" w:rsidRPr="003576A4" w:rsidRDefault="00116BE4" w:rsidP="00116BE4">
          <w:pPr>
            <w:autoSpaceDN w:val="0"/>
            <w:adjustRightInd w:val="0"/>
            <w:jc w:val="both"/>
            <w:rPr>
              <w:sz w:val="24"/>
              <w:szCs w:val="24"/>
              <w:lang w:eastAsia="fr-FR"/>
            </w:rPr>
          </w:pPr>
          <w:r w:rsidRPr="003576A4">
            <w:rPr>
              <w:sz w:val="24"/>
              <w:szCs w:val="24"/>
              <w:lang w:eastAsia="fr-FR"/>
            </w:rPr>
            <w:t>Les Membres présents, après avoir entendu l’exposé du Maire et après un échange de vues :</w:t>
          </w:r>
        </w:p>
        <w:p w:rsidR="00116BE4" w:rsidRPr="003576A4" w:rsidRDefault="00116BE4" w:rsidP="00116BE4">
          <w:pPr>
            <w:autoSpaceDN w:val="0"/>
            <w:adjustRightInd w:val="0"/>
            <w:jc w:val="both"/>
            <w:rPr>
              <w:sz w:val="24"/>
              <w:szCs w:val="24"/>
              <w:lang w:eastAsia="fr-FR"/>
            </w:rPr>
          </w:pPr>
          <w:r w:rsidRPr="003576A4">
            <w:rPr>
              <w:sz w:val="24"/>
              <w:szCs w:val="24"/>
              <w:lang w:eastAsia="fr-FR"/>
            </w:rPr>
            <w:t>1° - Prennent en considération et approuvent le projet qui leur est présenté,</w:t>
          </w:r>
        </w:p>
        <w:p w:rsidR="00116BE4" w:rsidRPr="003576A4" w:rsidRDefault="00116BE4" w:rsidP="00116BE4">
          <w:pPr>
            <w:tabs>
              <w:tab w:val="left" w:pos="1418"/>
              <w:tab w:val="left" w:pos="3970"/>
              <w:tab w:val="left" w:pos="8080"/>
            </w:tabs>
            <w:autoSpaceDN w:val="0"/>
            <w:adjustRightInd w:val="0"/>
            <w:jc w:val="both"/>
            <w:rPr>
              <w:b/>
              <w:sz w:val="24"/>
              <w:szCs w:val="24"/>
              <w:lang w:eastAsia="fr-FR"/>
            </w:rPr>
          </w:pPr>
          <w:r w:rsidRPr="003576A4">
            <w:rPr>
              <w:sz w:val="24"/>
              <w:szCs w:val="24"/>
              <w:lang w:eastAsia="fr-FR"/>
            </w:rPr>
            <w:t xml:space="preserve">2° - Le Conseil Municipal décide de demander à la Caisse Régionale de Crédit Agricole du NORD EST à Reims, 25, rue </w:t>
          </w:r>
          <w:proofErr w:type="spellStart"/>
          <w:r w:rsidRPr="003576A4">
            <w:rPr>
              <w:sz w:val="24"/>
              <w:szCs w:val="24"/>
              <w:lang w:eastAsia="fr-FR"/>
            </w:rPr>
            <w:t>Libergier</w:t>
          </w:r>
          <w:proofErr w:type="spellEnd"/>
          <w:r w:rsidRPr="003576A4">
            <w:rPr>
              <w:sz w:val="24"/>
              <w:szCs w:val="24"/>
              <w:lang w:eastAsia="fr-FR"/>
            </w:rPr>
            <w:t xml:space="preserve">, la mise en place d’une </w:t>
          </w:r>
          <w:r w:rsidRPr="003576A4">
            <w:rPr>
              <w:b/>
              <w:sz w:val="24"/>
              <w:szCs w:val="24"/>
              <w:lang w:eastAsia="fr-FR"/>
            </w:rPr>
            <w:t>ligne de trésorerie</w:t>
          </w:r>
          <w:r w:rsidRPr="003576A4">
            <w:rPr>
              <w:sz w:val="24"/>
              <w:szCs w:val="24"/>
              <w:lang w:eastAsia="fr-FR"/>
            </w:rPr>
            <w:t xml:space="preserve"> d’un montant de 15 000,00 Euros, pour une durée </w:t>
          </w:r>
          <w:r w:rsidRPr="003576A4">
            <w:rPr>
              <w:b/>
              <w:sz w:val="24"/>
              <w:szCs w:val="24"/>
              <w:lang w:eastAsia="fr-FR"/>
            </w:rPr>
            <w:t>d’un an</w:t>
          </w:r>
          <w:r w:rsidRPr="003576A4">
            <w:rPr>
              <w:sz w:val="24"/>
              <w:szCs w:val="24"/>
              <w:lang w:eastAsia="fr-FR"/>
            </w:rPr>
            <w:t xml:space="preserve">, utilisable par tranches de 15 000 € minimum. Remboursement anticipé possible à tout moment sans pénalités, paiement des intérêts par périodicités trimestrielles, indexés sur </w:t>
          </w:r>
          <w:r w:rsidRPr="003576A4">
            <w:rPr>
              <w:b/>
              <w:sz w:val="24"/>
              <w:szCs w:val="24"/>
              <w:lang w:eastAsia="fr-FR"/>
            </w:rPr>
            <w:t>l’Euribor 3 mois + 0,90 %.</w:t>
          </w:r>
        </w:p>
        <w:p w:rsidR="00116BE4" w:rsidRPr="003576A4" w:rsidRDefault="00116BE4" w:rsidP="00116BE4">
          <w:pPr>
            <w:tabs>
              <w:tab w:val="left" w:pos="1418"/>
              <w:tab w:val="left" w:pos="3970"/>
              <w:tab w:val="left" w:pos="8080"/>
            </w:tabs>
            <w:autoSpaceDN w:val="0"/>
            <w:adjustRightInd w:val="0"/>
            <w:jc w:val="both"/>
            <w:rPr>
              <w:b/>
              <w:sz w:val="24"/>
              <w:szCs w:val="24"/>
              <w:lang w:eastAsia="fr-FR"/>
            </w:rPr>
          </w:pPr>
          <w:r w:rsidRPr="003576A4">
            <w:rPr>
              <w:b/>
              <w:sz w:val="24"/>
              <w:szCs w:val="24"/>
              <w:lang w:eastAsia="fr-FR"/>
            </w:rPr>
            <w:t>Taux plancher = marge.</w:t>
          </w:r>
        </w:p>
        <w:p w:rsidR="00116BE4" w:rsidRPr="003576A4" w:rsidRDefault="00116BE4" w:rsidP="00116BE4">
          <w:pPr>
            <w:tabs>
              <w:tab w:val="left" w:pos="1418"/>
              <w:tab w:val="left" w:pos="3970"/>
              <w:tab w:val="left" w:pos="8080"/>
            </w:tabs>
            <w:autoSpaceDN w:val="0"/>
            <w:adjustRightInd w:val="0"/>
            <w:jc w:val="both"/>
            <w:rPr>
              <w:b/>
              <w:sz w:val="24"/>
              <w:szCs w:val="24"/>
              <w:lang w:eastAsia="fr-FR"/>
            </w:rPr>
          </w:pPr>
          <w:r w:rsidRPr="003576A4">
            <w:rPr>
              <w:b/>
              <w:sz w:val="24"/>
              <w:szCs w:val="24"/>
              <w:lang w:eastAsia="fr-FR"/>
            </w:rPr>
            <w:t>Frais de dossier ou commission d’engagement de 0,20%</w:t>
          </w:r>
        </w:p>
        <w:p w:rsidR="00116BE4" w:rsidRPr="003576A4" w:rsidRDefault="00116BE4" w:rsidP="00116BE4">
          <w:pPr>
            <w:tabs>
              <w:tab w:val="left" w:pos="1418"/>
              <w:tab w:val="left" w:pos="3970"/>
              <w:tab w:val="left" w:pos="8080"/>
            </w:tabs>
            <w:autoSpaceDN w:val="0"/>
            <w:adjustRightInd w:val="0"/>
            <w:jc w:val="both"/>
            <w:rPr>
              <w:sz w:val="24"/>
              <w:szCs w:val="24"/>
              <w:lang w:eastAsia="fr-FR"/>
            </w:rPr>
          </w:pPr>
          <w:r w:rsidRPr="003576A4">
            <w:rPr>
              <w:sz w:val="24"/>
              <w:szCs w:val="24"/>
              <w:lang w:eastAsia="fr-FR"/>
            </w:rPr>
            <w:t>3° - Ouvrent au budget de l’exercice courant les crédits correspondants aux frais financiers,</w:t>
          </w:r>
        </w:p>
        <w:p w:rsidR="00116BE4" w:rsidRPr="003576A4" w:rsidRDefault="00116BE4" w:rsidP="00116BE4">
          <w:pPr>
            <w:tabs>
              <w:tab w:val="left" w:pos="1418"/>
              <w:tab w:val="left" w:pos="3970"/>
              <w:tab w:val="left" w:pos="8080"/>
            </w:tabs>
            <w:autoSpaceDN w:val="0"/>
            <w:adjustRightInd w:val="0"/>
            <w:jc w:val="both"/>
            <w:rPr>
              <w:sz w:val="24"/>
              <w:szCs w:val="24"/>
              <w:lang w:eastAsia="fr-FR"/>
            </w:rPr>
          </w:pPr>
          <w:r w:rsidRPr="003576A4">
            <w:rPr>
              <w:sz w:val="24"/>
              <w:szCs w:val="24"/>
              <w:lang w:eastAsia="fr-FR"/>
            </w:rPr>
            <w:t>4° - Prennent l’engagement, au nom de la Collectivité, d’inscrire en priorité, chaque année, en dépenses obligatoires au budget, les sommes nécessaires au remboursement des échéances ainsi que de créer et mettre en recouvrement, en tant que de besoin, les impositions nécessaires pour assurer le paiement des dites échéances,</w:t>
          </w:r>
        </w:p>
        <w:p w:rsidR="00116BE4" w:rsidRDefault="00116BE4" w:rsidP="00116BE4">
          <w:pPr>
            <w:tabs>
              <w:tab w:val="left" w:pos="1418"/>
              <w:tab w:val="left" w:pos="3970"/>
              <w:tab w:val="left" w:pos="8080"/>
            </w:tabs>
            <w:autoSpaceDN w:val="0"/>
            <w:adjustRightInd w:val="0"/>
            <w:jc w:val="both"/>
            <w:rPr>
              <w:sz w:val="24"/>
              <w:szCs w:val="24"/>
              <w:lang w:eastAsia="fr-FR"/>
            </w:rPr>
          </w:pPr>
          <w:r w:rsidRPr="003576A4">
            <w:rPr>
              <w:sz w:val="24"/>
              <w:szCs w:val="24"/>
              <w:lang w:eastAsia="fr-FR"/>
            </w:rPr>
            <w:t xml:space="preserve">5° - Autorisent la signature de tous les actes contractuels afférents à cette opération et confèrent, en tant que de besoin, toutes délégations utiles à son représentant légal, Madame Pierrette DRUET, pour la </w:t>
          </w:r>
          <w:r w:rsidRPr="003576A4">
            <w:rPr>
              <w:sz w:val="24"/>
              <w:szCs w:val="24"/>
              <w:lang w:eastAsia="fr-FR"/>
            </w:rPr>
            <w:lastRenderedPageBreak/>
            <w:t>r</w:t>
          </w:r>
          <w:r>
            <w:rPr>
              <w:sz w:val="24"/>
              <w:szCs w:val="24"/>
              <w:lang w:eastAsia="fr-FR"/>
            </w:rPr>
            <w:t>é</w:t>
          </w:r>
          <w:r w:rsidRPr="003576A4">
            <w:rPr>
              <w:sz w:val="24"/>
              <w:szCs w:val="24"/>
              <w:lang w:eastAsia="fr-FR"/>
            </w:rPr>
            <w:t>alisation de</w:t>
          </w:r>
          <w:r>
            <w:rPr>
              <w:sz w:val="24"/>
              <w:szCs w:val="24"/>
              <w:lang w:eastAsia="fr-FR"/>
            </w:rPr>
            <w:t xml:space="preserve"> </w:t>
          </w:r>
          <w:r w:rsidRPr="003576A4">
            <w:rPr>
              <w:sz w:val="24"/>
              <w:szCs w:val="24"/>
              <w:lang w:eastAsia="fr-FR"/>
            </w:rPr>
            <w:t>cette ligne de trésorerie, la signature du contrat à passer et l’acceptation de toutes les conditions de remboursement qui y seront insérées.</w:t>
          </w:r>
        </w:p>
        <w:p w:rsidR="00116BE4" w:rsidRPr="003576A4" w:rsidRDefault="00116BE4" w:rsidP="00116BE4">
          <w:pPr>
            <w:tabs>
              <w:tab w:val="left" w:pos="1418"/>
              <w:tab w:val="left" w:pos="3970"/>
              <w:tab w:val="left" w:pos="8080"/>
            </w:tabs>
            <w:autoSpaceDN w:val="0"/>
            <w:adjustRightInd w:val="0"/>
            <w:jc w:val="both"/>
            <w:rPr>
              <w:sz w:val="24"/>
              <w:szCs w:val="24"/>
              <w:lang w:eastAsia="fr-FR"/>
            </w:rPr>
          </w:pPr>
        </w:p>
        <w:p w:rsidR="00116BE4" w:rsidRPr="003576A4" w:rsidRDefault="00116BE4" w:rsidP="00116BE4">
          <w:pPr>
            <w:numPr>
              <w:ilvl w:val="0"/>
              <w:numId w:val="1"/>
            </w:numPr>
            <w:suppressAutoHyphens/>
            <w:overflowPunct w:val="0"/>
            <w:autoSpaceDE w:val="0"/>
            <w:spacing w:after="0" w:line="240" w:lineRule="auto"/>
            <w:ind w:left="0" w:hanging="426"/>
            <w:jc w:val="both"/>
            <w:textAlignment w:val="baseline"/>
            <w:rPr>
              <w:color w:val="000000"/>
              <w:sz w:val="24"/>
              <w:szCs w:val="24"/>
              <w:u w:val="single"/>
            </w:rPr>
          </w:pPr>
          <w:r w:rsidRPr="003576A4">
            <w:rPr>
              <w:b/>
              <w:sz w:val="24"/>
              <w:szCs w:val="24"/>
              <w:u w:val="single"/>
            </w:rPr>
            <w:t>Centre de gestion de la fonction publique territoriale – Dispositif de signalement relati</w:t>
          </w:r>
          <w:r>
            <w:rPr>
              <w:b/>
              <w:sz w:val="24"/>
              <w:szCs w:val="24"/>
              <w:u w:val="single"/>
            </w:rPr>
            <w:t>f</w:t>
          </w:r>
          <w:r w:rsidRPr="003576A4">
            <w:rPr>
              <w:b/>
              <w:sz w:val="24"/>
              <w:szCs w:val="24"/>
              <w:u w:val="single"/>
            </w:rPr>
            <w:t xml:space="preserve"> au </w:t>
          </w:r>
          <w:r w:rsidRPr="003576A4">
            <w:rPr>
              <w:b/>
              <w:color w:val="000000"/>
              <w:sz w:val="24"/>
              <w:szCs w:val="24"/>
              <w:u w:val="single"/>
            </w:rPr>
            <w:t>dispositif de signalement des actes de violence, de discrimination, de harcèlement et d'agissements sexistes dans la fonction publique</w:t>
          </w:r>
          <w:r w:rsidRPr="003576A4">
            <w:rPr>
              <w:b/>
              <w:color w:val="000000"/>
              <w:sz w:val="24"/>
              <w:szCs w:val="24"/>
            </w:rPr>
            <w:t> :</w:t>
          </w:r>
        </w:p>
        <w:p w:rsidR="00116BE4" w:rsidRPr="003576A4" w:rsidRDefault="00116BE4" w:rsidP="00116BE4">
          <w:pPr>
            <w:jc w:val="both"/>
            <w:rPr>
              <w:color w:val="000000"/>
              <w:sz w:val="24"/>
              <w:szCs w:val="24"/>
            </w:rPr>
          </w:pPr>
          <w:r w:rsidRPr="003576A4">
            <w:rPr>
              <w:color w:val="000000"/>
              <w:sz w:val="24"/>
              <w:szCs w:val="24"/>
            </w:rPr>
            <w:t>Vu la loi n° 83-634 du 13 juillet 1983 portant droits et obligations des fonctionnaires, notamment son article 6 quater A ;</w:t>
          </w:r>
        </w:p>
        <w:p w:rsidR="00116BE4" w:rsidRPr="003576A4" w:rsidRDefault="00116BE4" w:rsidP="00116BE4">
          <w:pPr>
            <w:spacing w:line="276" w:lineRule="auto"/>
            <w:jc w:val="both"/>
            <w:rPr>
              <w:color w:val="000000"/>
              <w:sz w:val="24"/>
              <w:szCs w:val="24"/>
            </w:rPr>
          </w:pPr>
          <w:r w:rsidRPr="003576A4">
            <w:rPr>
              <w:color w:val="000000"/>
              <w:sz w:val="24"/>
              <w:szCs w:val="24"/>
            </w:rPr>
            <w:t>Vu la loi n° 84-53 du 26 janvier 1984 portant dispositions statutaires relatives à la fonction publique territoriale, notamment son article 26-2 ;</w:t>
          </w:r>
        </w:p>
        <w:p w:rsidR="00116BE4" w:rsidRPr="003576A4" w:rsidRDefault="00116BE4" w:rsidP="00116BE4">
          <w:pPr>
            <w:spacing w:line="276" w:lineRule="auto"/>
            <w:jc w:val="both"/>
            <w:rPr>
              <w:color w:val="000000"/>
              <w:sz w:val="24"/>
              <w:szCs w:val="24"/>
            </w:rPr>
          </w:pPr>
          <w:r w:rsidRPr="003576A4">
            <w:rPr>
              <w:color w:val="000000"/>
              <w:sz w:val="24"/>
              <w:szCs w:val="24"/>
            </w:rPr>
            <w:t>Vu le décret n° 2020-256 du 13 mars 2020 relatif au dispositif de signalement des actes de violence, de discrimination, de harcèlement et d'agissements sexistes dans la fonction publique ;</w:t>
          </w:r>
        </w:p>
        <w:p w:rsidR="00116BE4" w:rsidRPr="003576A4" w:rsidRDefault="00116BE4" w:rsidP="00116BE4">
          <w:pPr>
            <w:spacing w:line="276" w:lineRule="auto"/>
            <w:jc w:val="both"/>
            <w:rPr>
              <w:color w:val="000000"/>
              <w:sz w:val="24"/>
              <w:szCs w:val="24"/>
            </w:rPr>
          </w:pPr>
          <w:r w:rsidRPr="003576A4">
            <w:rPr>
              <w:color w:val="000000"/>
              <w:sz w:val="24"/>
              <w:szCs w:val="24"/>
            </w:rPr>
            <w:t xml:space="preserve">Considérant que toute autorité territoriale a l’obligation de mettre en place, au </w:t>
          </w:r>
          <w:r w:rsidRPr="003576A4">
            <w:rPr>
              <w:color w:val="000000"/>
              <w:sz w:val="24"/>
              <w:szCs w:val="24"/>
            </w:rPr>
            <w:br/>
            <w:t>1</w:t>
          </w:r>
          <w:r w:rsidRPr="003576A4">
            <w:rPr>
              <w:color w:val="000000"/>
              <w:sz w:val="24"/>
              <w:szCs w:val="24"/>
              <w:vertAlign w:val="superscript"/>
            </w:rPr>
            <w:t>er</w:t>
          </w:r>
          <w:r w:rsidRPr="003576A4">
            <w:rPr>
              <w:color w:val="000000"/>
              <w:sz w:val="24"/>
              <w:szCs w:val="24"/>
            </w:rPr>
            <w:t xml:space="preserve"> mai 2020, un dispositif de signalement et de traitement des actes de violence, de discrimination, de harcèlement sexuel ou moral et d’agissements sexistes ;</w:t>
          </w:r>
        </w:p>
        <w:p w:rsidR="00116BE4" w:rsidRPr="003576A4" w:rsidRDefault="00116BE4" w:rsidP="00116BE4">
          <w:pPr>
            <w:spacing w:line="276" w:lineRule="auto"/>
            <w:jc w:val="both"/>
            <w:rPr>
              <w:color w:val="000000"/>
              <w:sz w:val="24"/>
              <w:szCs w:val="24"/>
            </w:rPr>
          </w:pPr>
          <w:r w:rsidRPr="003576A4">
            <w:rPr>
              <w:color w:val="000000"/>
              <w:sz w:val="24"/>
              <w:szCs w:val="24"/>
            </w:rPr>
            <w:t>Vu l'article 26-2 de la loi n°84-53 du 26 janvier 1984 autorisant les centres de gestion à mettre en place, pour le compte des collectivités territoriales et de leurs établissements publics qui en font la demande, le dispositif de signalement prévu à l'article 6 quater A de la loi n°83-634 du 13 juillet 1983 précitée.</w:t>
          </w:r>
        </w:p>
        <w:p w:rsidR="00116BE4" w:rsidRDefault="00116BE4" w:rsidP="00116BE4">
          <w:pPr>
            <w:pStyle w:val="Corpsdetexte"/>
          </w:pPr>
        </w:p>
        <w:p w:rsidR="00116BE4" w:rsidRPr="003576A4" w:rsidRDefault="00116BE4" w:rsidP="00116BE4">
          <w:pPr>
            <w:jc w:val="both"/>
            <w:rPr>
              <w:b/>
              <w:bCs/>
              <w:sz w:val="24"/>
              <w:szCs w:val="24"/>
            </w:rPr>
          </w:pPr>
          <w:r w:rsidRPr="003576A4">
            <w:rPr>
              <w:b/>
              <w:bCs/>
              <w:sz w:val="24"/>
              <w:szCs w:val="24"/>
            </w:rPr>
            <w:t xml:space="preserve">Le </w:t>
          </w:r>
          <w:r w:rsidRPr="003576A4">
            <w:rPr>
              <w:b/>
              <w:bCs/>
              <w:i/>
              <w:sz w:val="24"/>
              <w:szCs w:val="24"/>
            </w:rPr>
            <w:t>Maire</w:t>
          </w:r>
          <w:r w:rsidRPr="003576A4">
            <w:rPr>
              <w:b/>
              <w:bCs/>
              <w:sz w:val="24"/>
              <w:szCs w:val="24"/>
            </w:rPr>
            <w:t xml:space="preserve"> rappelle à l’assemblée que :</w:t>
          </w:r>
        </w:p>
        <w:p w:rsidR="00116BE4" w:rsidRDefault="00116BE4" w:rsidP="00116BE4">
          <w:pPr>
            <w:jc w:val="both"/>
            <w:rPr>
              <w:sz w:val="24"/>
              <w:szCs w:val="24"/>
            </w:rPr>
          </w:pPr>
          <w:r w:rsidRPr="003576A4">
            <w:rPr>
              <w:sz w:val="24"/>
              <w:szCs w:val="24"/>
              <w:shd w:val="clear" w:color="auto" w:fill="FFFFFF"/>
            </w:rPr>
            <w:t>Un dispositif de signalement des actes de violence, de discrimination, de harcèlement et d'agissements sexistes doit être mis en place depuis le 1</w:t>
          </w:r>
          <w:r w:rsidRPr="003576A4">
            <w:rPr>
              <w:sz w:val="24"/>
              <w:szCs w:val="24"/>
              <w:shd w:val="clear" w:color="auto" w:fill="FFFFFF"/>
              <w:vertAlign w:val="superscript"/>
            </w:rPr>
            <w:t>er</w:t>
          </w:r>
          <w:r w:rsidRPr="003576A4">
            <w:rPr>
              <w:sz w:val="24"/>
              <w:szCs w:val="24"/>
              <w:shd w:val="clear" w:color="auto" w:fill="FFFFFF"/>
            </w:rPr>
            <w:t xml:space="preserve"> mai 2020 dans l'ensemble des administrations pour les fonctionnaires et les agents contractuels. Il concerne les administrations, les collectivités territoriales et les établissements publics. Le décret paru au Journal officiel du 15 mars 2020 précise les modalités de ce dispositif qui</w:t>
          </w:r>
          <w:r w:rsidRPr="003576A4">
            <w:rPr>
              <w:sz w:val="24"/>
              <w:szCs w:val="24"/>
            </w:rPr>
            <w:t xml:space="preserve"> comporte 3 procédures :</w:t>
          </w:r>
        </w:p>
        <w:p w:rsidR="00116BE4" w:rsidRPr="003576A4" w:rsidRDefault="00116BE4" w:rsidP="00116BE4">
          <w:pPr>
            <w:numPr>
              <w:ilvl w:val="0"/>
              <w:numId w:val="5"/>
            </w:numPr>
            <w:shd w:val="clear" w:color="auto" w:fill="FFFFFF"/>
            <w:spacing w:before="120" w:after="100" w:afterAutospacing="1" w:line="240" w:lineRule="auto"/>
            <w:jc w:val="both"/>
            <w:rPr>
              <w:sz w:val="24"/>
              <w:szCs w:val="24"/>
            </w:rPr>
          </w:pPr>
          <w:r w:rsidRPr="003576A4">
            <w:rPr>
              <w:sz w:val="24"/>
              <w:szCs w:val="24"/>
            </w:rPr>
            <w:t>le recueil des signalements effectués par les agents s'estimant victimes ou témoins des actes ou agissements en question ;</w:t>
          </w:r>
        </w:p>
        <w:p w:rsidR="00116BE4" w:rsidRPr="003576A4" w:rsidRDefault="00116BE4" w:rsidP="00116BE4">
          <w:pPr>
            <w:numPr>
              <w:ilvl w:val="0"/>
              <w:numId w:val="5"/>
            </w:numPr>
            <w:shd w:val="clear" w:color="auto" w:fill="FFFFFF"/>
            <w:spacing w:before="100" w:beforeAutospacing="1" w:after="100" w:afterAutospacing="1" w:line="240" w:lineRule="auto"/>
            <w:jc w:val="both"/>
            <w:rPr>
              <w:sz w:val="24"/>
              <w:szCs w:val="24"/>
            </w:rPr>
          </w:pPr>
          <w:r w:rsidRPr="003576A4">
            <w:rPr>
              <w:sz w:val="24"/>
              <w:szCs w:val="24"/>
            </w:rPr>
            <w:t>l'orientation de ces agents vers les services et professionnels en charge de leur accompagnement et de leur soutien ;</w:t>
          </w:r>
        </w:p>
        <w:p w:rsidR="00116BE4" w:rsidRPr="003576A4" w:rsidRDefault="00116BE4" w:rsidP="00116BE4">
          <w:pPr>
            <w:numPr>
              <w:ilvl w:val="0"/>
              <w:numId w:val="5"/>
            </w:numPr>
            <w:shd w:val="clear" w:color="auto" w:fill="FFFFFF"/>
            <w:spacing w:before="100" w:beforeAutospacing="1" w:after="100" w:afterAutospacing="1" w:line="240" w:lineRule="auto"/>
            <w:jc w:val="both"/>
            <w:rPr>
              <w:sz w:val="24"/>
              <w:szCs w:val="24"/>
            </w:rPr>
          </w:pPr>
          <w:r w:rsidRPr="003576A4">
            <w:rPr>
              <w:sz w:val="24"/>
              <w:szCs w:val="24"/>
            </w:rPr>
            <w:t>l'orientation vers les autorités compétentes pour prendre les mesures de protection appropriées et traiter les faits signalés, notamment par une enquête administrative.</w:t>
          </w:r>
        </w:p>
        <w:p w:rsidR="00116BE4" w:rsidRPr="003576A4" w:rsidRDefault="00116BE4" w:rsidP="00116BE4">
          <w:pPr>
            <w:shd w:val="clear" w:color="auto" w:fill="FFFFFF"/>
            <w:jc w:val="both"/>
            <w:rPr>
              <w:sz w:val="24"/>
              <w:szCs w:val="24"/>
            </w:rPr>
          </w:pPr>
          <w:r w:rsidRPr="003576A4">
            <w:rPr>
              <w:sz w:val="24"/>
              <w:szCs w:val="24"/>
            </w:rPr>
            <w:t>L'acte instituant ces procédures précise comment l'auteur du signalement :</w:t>
          </w:r>
        </w:p>
        <w:p w:rsidR="00116BE4" w:rsidRPr="003576A4" w:rsidRDefault="00116BE4" w:rsidP="00116BE4">
          <w:pPr>
            <w:numPr>
              <w:ilvl w:val="0"/>
              <w:numId w:val="6"/>
            </w:numPr>
            <w:shd w:val="clear" w:color="auto" w:fill="FFFFFF"/>
            <w:spacing w:after="100" w:afterAutospacing="1" w:line="240" w:lineRule="auto"/>
            <w:jc w:val="both"/>
            <w:rPr>
              <w:sz w:val="24"/>
              <w:szCs w:val="24"/>
            </w:rPr>
          </w:pPr>
          <w:r w:rsidRPr="003576A4">
            <w:rPr>
              <w:sz w:val="24"/>
              <w:szCs w:val="24"/>
            </w:rPr>
            <w:t>adresse son signalement ;</w:t>
          </w:r>
        </w:p>
        <w:p w:rsidR="00116BE4" w:rsidRPr="003576A4" w:rsidRDefault="00116BE4" w:rsidP="00116BE4">
          <w:pPr>
            <w:numPr>
              <w:ilvl w:val="0"/>
              <w:numId w:val="6"/>
            </w:numPr>
            <w:shd w:val="clear" w:color="auto" w:fill="FFFFFF"/>
            <w:spacing w:before="100" w:beforeAutospacing="1" w:after="100" w:afterAutospacing="1" w:line="240" w:lineRule="auto"/>
            <w:jc w:val="both"/>
            <w:rPr>
              <w:sz w:val="24"/>
              <w:szCs w:val="24"/>
            </w:rPr>
          </w:pPr>
          <w:r w:rsidRPr="003576A4">
            <w:rPr>
              <w:sz w:val="24"/>
              <w:szCs w:val="24"/>
            </w:rPr>
            <w:t>fournit les faits et éventuellement les informations ou documents de nature à étayer son signalement (quels que soient leur forme ou leur support) ;</w:t>
          </w:r>
        </w:p>
        <w:p w:rsidR="00116BE4" w:rsidRPr="003576A4" w:rsidRDefault="00116BE4" w:rsidP="00116BE4">
          <w:pPr>
            <w:numPr>
              <w:ilvl w:val="0"/>
              <w:numId w:val="6"/>
            </w:numPr>
            <w:shd w:val="clear" w:color="auto" w:fill="FFFFFF"/>
            <w:spacing w:before="100" w:beforeAutospacing="1" w:after="100" w:afterAutospacing="1" w:line="240" w:lineRule="auto"/>
            <w:jc w:val="both"/>
            <w:rPr>
              <w:sz w:val="24"/>
              <w:szCs w:val="24"/>
            </w:rPr>
          </w:pPr>
          <w:r w:rsidRPr="003576A4">
            <w:rPr>
              <w:sz w:val="24"/>
              <w:szCs w:val="24"/>
            </w:rPr>
            <w:t>fournit les éléments permettant un échange avec le destinataire du signalement.</w:t>
          </w:r>
        </w:p>
        <w:p w:rsidR="00116BE4" w:rsidRPr="003576A4" w:rsidRDefault="00116BE4" w:rsidP="00116BE4">
          <w:pPr>
            <w:shd w:val="clear" w:color="auto" w:fill="FFFFFF"/>
            <w:jc w:val="both"/>
            <w:rPr>
              <w:sz w:val="24"/>
              <w:szCs w:val="24"/>
            </w:rPr>
          </w:pPr>
          <w:r w:rsidRPr="003576A4">
            <w:rPr>
              <w:sz w:val="24"/>
              <w:szCs w:val="24"/>
            </w:rPr>
            <w:t>Cet acte précise également les mesures revenant à l'administration qui a reçu le signalement pour :</w:t>
          </w:r>
        </w:p>
        <w:p w:rsidR="00116BE4" w:rsidRPr="003576A4" w:rsidRDefault="00116BE4" w:rsidP="00116BE4">
          <w:pPr>
            <w:numPr>
              <w:ilvl w:val="0"/>
              <w:numId w:val="7"/>
            </w:numPr>
            <w:shd w:val="clear" w:color="auto" w:fill="FFFFFF"/>
            <w:spacing w:before="120" w:after="100" w:afterAutospacing="1" w:line="240" w:lineRule="auto"/>
            <w:jc w:val="both"/>
            <w:rPr>
              <w:sz w:val="24"/>
              <w:szCs w:val="24"/>
            </w:rPr>
          </w:pPr>
          <w:r w:rsidRPr="003576A4">
            <w:rPr>
              <w:sz w:val="24"/>
              <w:szCs w:val="24"/>
            </w:rPr>
            <w:t>informer rapidement l'auteur du signalement de la réception de celui-ci et de la façon dont il sera informé des suites données ;</w:t>
          </w:r>
        </w:p>
        <w:p w:rsidR="00116BE4" w:rsidRPr="003576A4" w:rsidRDefault="00116BE4" w:rsidP="00116BE4">
          <w:pPr>
            <w:numPr>
              <w:ilvl w:val="0"/>
              <w:numId w:val="7"/>
            </w:numPr>
            <w:shd w:val="clear" w:color="auto" w:fill="FFFFFF"/>
            <w:spacing w:after="100" w:afterAutospacing="1" w:line="240" w:lineRule="auto"/>
            <w:jc w:val="both"/>
            <w:rPr>
              <w:sz w:val="24"/>
              <w:szCs w:val="24"/>
            </w:rPr>
          </w:pPr>
          <w:r w:rsidRPr="003576A4">
            <w:rPr>
              <w:sz w:val="24"/>
              <w:szCs w:val="24"/>
            </w:rPr>
            <w:lastRenderedPageBreak/>
            <w:t>garantir la stricte confidentialité autour de ce signalement : identité de l'auteur, des personnes visées et des personnes en charge de le traiter, ainsi que les faits eux-mêmes.</w:t>
          </w:r>
        </w:p>
        <w:p w:rsidR="00116BE4" w:rsidRPr="003576A4" w:rsidRDefault="00116BE4" w:rsidP="00116BE4">
          <w:pPr>
            <w:shd w:val="clear" w:color="auto" w:fill="FFFFFF"/>
            <w:spacing w:after="240"/>
            <w:jc w:val="both"/>
            <w:rPr>
              <w:sz w:val="24"/>
              <w:szCs w:val="24"/>
            </w:rPr>
          </w:pPr>
          <w:r w:rsidRPr="003576A4">
            <w:rPr>
              <w:sz w:val="24"/>
              <w:szCs w:val="24"/>
            </w:rPr>
            <w:t>Chaque autorité compétente doit informer l'ensemble de ses agents de l'existence de ce dispositif de signalement et des modalités pour y avoir accès.</w:t>
          </w:r>
        </w:p>
        <w:p w:rsidR="00116BE4" w:rsidRPr="003576A4" w:rsidRDefault="00116BE4" w:rsidP="00116BE4">
          <w:pPr>
            <w:shd w:val="clear" w:color="auto" w:fill="FFFFFF"/>
            <w:jc w:val="both"/>
            <w:rPr>
              <w:sz w:val="24"/>
              <w:szCs w:val="24"/>
            </w:rPr>
          </w:pPr>
          <w:r w:rsidRPr="003576A4">
            <w:rPr>
              <w:sz w:val="24"/>
              <w:szCs w:val="24"/>
            </w:rPr>
            <w:t>L'article 2 du décret prévoit également que le dispositif de signalement peut être mutualisé par voie de convention entre plusieurs administrations, collectivités territoriales ou établissements publics relevant de l'</w:t>
          </w:r>
          <w:hyperlink r:id="rId9" w:tooltip="Loi n° 83-634 du 13 juillet 1983 - art. 2 (M)" w:history="1">
            <w:r w:rsidRPr="003576A4">
              <w:rPr>
                <w:rStyle w:val="Lienhypertexte"/>
                <w:sz w:val="24"/>
                <w:szCs w:val="24"/>
              </w:rPr>
              <w:t>article 2 de la loi du 13 juillet 1983 susvisée</w:t>
            </w:r>
          </w:hyperlink>
          <w:r w:rsidRPr="003576A4">
            <w:rPr>
              <w:sz w:val="24"/>
              <w:szCs w:val="24"/>
            </w:rPr>
            <w:t>.</w:t>
          </w:r>
        </w:p>
        <w:p w:rsidR="00116BE4" w:rsidRPr="003576A4" w:rsidRDefault="00116BE4" w:rsidP="00116BE4">
          <w:pPr>
            <w:shd w:val="clear" w:color="auto" w:fill="FFFFFF"/>
            <w:spacing w:after="240"/>
            <w:jc w:val="both"/>
            <w:rPr>
              <w:sz w:val="24"/>
              <w:szCs w:val="24"/>
            </w:rPr>
          </w:pPr>
          <w:r w:rsidRPr="003576A4">
            <w:rPr>
              <w:sz w:val="24"/>
              <w:szCs w:val="24"/>
            </w:rPr>
            <w:t>Pour les collectivités territoriales et leurs établissements publics, il peut également être confié, dans les conditions prévues à l'article 26-2 de la loi du 26 janvier 1984 susvisée, aux centres de gestion.</w:t>
          </w:r>
        </w:p>
        <w:p w:rsidR="00116BE4" w:rsidRPr="003576A4" w:rsidRDefault="00116BE4" w:rsidP="00116BE4">
          <w:pPr>
            <w:pStyle w:val="Corpsdetexte"/>
            <w:jc w:val="both"/>
            <w:rPr>
              <w:sz w:val="24"/>
              <w:szCs w:val="24"/>
            </w:rPr>
          </w:pPr>
          <w:r w:rsidRPr="003576A4">
            <w:rPr>
              <w:sz w:val="24"/>
              <w:szCs w:val="24"/>
            </w:rPr>
            <w:t>Le Centre de Gestion de l'Aisne propose ce dispositif à l'ensemble des collectivités et établissements publics, à titre gracieux pour celles et ceux qui y sont affiliés.</w:t>
          </w:r>
        </w:p>
        <w:p w:rsidR="00116BE4" w:rsidRPr="003576A4" w:rsidRDefault="00116BE4" w:rsidP="00116BE4">
          <w:pPr>
            <w:pStyle w:val="Corpsdetexte"/>
            <w:jc w:val="both"/>
            <w:rPr>
              <w:sz w:val="24"/>
              <w:szCs w:val="24"/>
            </w:rPr>
          </w:pPr>
          <w:r w:rsidRPr="003576A4">
            <w:rPr>
              <w:sz w:val="24"/>
              <w:szCs w:val="24"/>
            </w:rPr>
            <w:t>L'ensemble des informations est disponible sur le site internet du Centre de Gestion dans un onglet dédié "signalements".</w:t>
          </w:r>
        </w:p>
        <w:p w:rsidR="00116BE4" w:rsidRPr="008B15A2" w:rsidRDefault="00116BE4" w:rsidP="00116BE4">
          <w:pPr>
            <w:jc w:val="both"/>
            <w:rPr>
              <w:b/>
              <w:bCs/>
              <w:sz w:val="24"/>
              <w:szCs w:val="24"/>
            </w:rPr>
          </w:pPr>
          <w:r w:rsidRPr="008B15A2">
            <w:rPr>
              <w:b/>
              <w:bCs/>
              <w:sz w:val="24"/>
              <w:szCs w:val="24"/>
            </w:rPr>
            <w:t>Le Conseil après en avoir délibéré décide, à l’unanimité :</w:t>
          </w:r>
        </w:p>
        <w:p w:rsidR="00116BE4" w:rsidRPr="003576A4" w:rsidRDefault="00116BE4" w:rsidP="00116BE4">
          <w:pPr>
            <w:pStyle w:val="Corpsdetexte"/>
            <w:numPr>
              <w:ilvl w:val="1"/>
              <w:numId w:val="6"/>
            </w:numPr>
            <w:suppressAutoHyphens w:val="0"/>
            <w:overflowPunct/>
            <w:autoSpaceDE/>
            <w:spacing w:after="0"/>
            <w:ind w:left="284" w:firstLine="0"/>
            <w:jc w:val="both"/>
            <w:textAlignment w:val="auto"/>
            <w:rPr>
              <w:sz w:val="24"/>
              <w:szCs w:val="24"/>
            </w:rPr>
          </w:pPr>
          <w:r w:rsidRPr="003576A4">
            <w:rPr>
              <w:sz w:val="24"/>
              <w:szCs w:val="24"/>
            </w:rPr>
            <w:t>d'adhérer au dispositif de signalement des actes de violence, de discrimination, de harcèlement et d'agissements sexistes dans la fonction publique proposé par le Centre de Gestion,</w:t>
          </w:r>
        </w:p>
        <w:p w:rsidR="00116BE4" w:rsidRPr="003576A4" w:rsidRDefault="00116BE4" w:rsidP="00116BE4">
          <w:pPr>
            <w:pStyle w:val="Corpsdetexte"/>
            <w:numPr>
              <w:ilvl w:val="1"/>
              <w:numId w:val="6"/>
            </w:numPr>
            <w:suppressAutoHyphens w:val="0"/>
            <w:overflowPunct/>
            <w:autoSpaceDE/>
            <w:spacing w:after="0"/>
            <w:ind w:left="284" w:firstLine="0"/>
            <w:jc w:val="both"/>
            <w:textAlignment w:val="auto"/>
            <w:rPr>
              <w:sz w:val="24"/>
              <w:szCs w:val="24"/>
            </w:rPr>
          </w:pPr>
          <w:r w:rsidRPr="003576A4">
            <w:rPr>
              <w:sz w:val="24"/>
              <w:szCs w:val="24"/>
            </w:rPr>
            <w:t>d'informer les agents de ce dispositif. </w:t>
          </w:r>
        </w:p>
        <w:p w:rsidR="00116BE4" w:rsidRPr="008B15A2" w:rsidRDefault="00116BE4" w:rsidP="00116BE4">
          <w:pPr>
            <w:jc w:val="both"/>
            <w:rPr>
              <w:sz w:val="16"/>
              <w:szCs w:val="16"/>
            </w:rPr>
          </w:pPr>
        </w:p>
        <w:p w:rsidR="00116BE4" w:rsidRDefault="00116BE4" w:rsidP="00116BE4">
          <w:pPr>
            <w:numPr>
              <w:ilvl w:val="0"/>
              <w:numId w:val="1"/>
            </w:numPr>
            <w:suppressAutoHyphens/>
            <w:overflowPunct w:val="0"/>
            <w:autoSpaceDE w:val="0"/>
            <w:spacing w:after="0" w:line="240" w:lineRule="auto"/>
            <w:ind w:left="284" w:hanging="284"/>
            <w:jc w:val="both"/>
            <w:textAlignment w:val="baseline"/>
            <w:rPr>
              <w:b/>
              <w:sz w:val="24"/>
              <w:szCs w:val="24"/>
            </w:rPr>
          </w:pPr>
          <w:r w:rsidRPr="008B15A2">
            <w:rPr>
              <w:b/>
              <w:sz w:val="24"/>
              <w:szCs w:val="24"/>
              <w:u w:val="single"/>
            </w:rPr>
            <w:t>Modalités du transfert de la compétence en matière de Plan local d’urbanisme, documents d’urbanisme en tenant lieu et carte communale</w:t>
          </w:r>
          <w:r>
            <w:rPr>
              <w:b/>
              <w:sz w:val="24"/>
              <w:szCs w:val="24"/>
            </w:rPr>
            <w:t xml:space="preserve"> :</w:t>
          </w:r>
        </w:p>
        <w:p w:rsidR="00116BE4" w:rsidRDefault="00116BE4" w:rsidP="00116BE4">
          <w:pPr>
            <w:ind w:left="142"/>
            <w:jc w:val="both"/>
            <w:rPr>
              <w:sz w:val="24"/>
              <w:szCs w:val="24"/>
              <w:lang w:eastAsia="fr-FR"/>
            </w:rPr>
          </w:pPr>
          <w:r>
            <w:rPr>
              <w:sz w:val="24"/>
              <w:szCs w:val="24"/>
            </w:rPr>
            <w:t>La loi Engagement national pour l’Environnement du 12 juillet 2010 avait posé le principe du Plan local d’urbanisme intercommunal pour aménager l’espace à l’échelle intercommunal avant que le projet de loi ALUR – la loi du 24 mars 2014 pour un accès au Logement et un Urbanisme Rénové – ne tente de le rendre obligatoire.</w:t>
          </w:r>
        </w:p>
        <w:p w:rsidR="00116BE4" w:rsidRDefault="00116BE4" w:rsidP="00116BE4">
          <w:pPr>
            <w:ind w:left="142"/>
            <w:jc w:val="both"/>
            <w:rPr>
              <w:sz w:val="24"/>
              <w:szCs w:val="24"/>
            </w:rPr>
          </w:pPr>
          <w:r>
            <w:rPr>
              <w:sz w:val="24"/>
              <w:szCs w:val="24"/>
            </w:rPr>
            <w:t>Mais pour qu’une collectivité puisse élaborer et décider un document d’urbanisme, il faut qu’elle soit compétente dans ce domaine.</w:t>
          </w:r>
        </w:p>
        <w:p w:rsidR="00116BE4" w:rsidRDefault="00116BE4" w:rsidP="00116BE4">
          <w:pPr>
            <w:ind w:left="142"/>
            <w:jc w:val="both"/>
            <w:rPr>
              <w:sz w:val="24"/>
              <w:szCs w:val="24"/>
            </w:rPr>
          </w:pPr>
          <w:r>
            <w:rPr>
              <w:sz w:val="24"/>
              <w:szCs w:val="24"/>
            </w:rPr>
            <w:t>De ce fait, en préalable à l’obligation d’élaborer un Plan local d’Urbanisme Intercommunal (</w:t>
          </w:r>
          <w:proofErr w:type="spellStart"/>
          <w:r>
            <w:rPr>
              <w:sz w:val="24"/>
              <w:szCs w:val="24"/>
            </w:rPr>
            <w:t>PLUi</w:t>
          </w:r>
          <w:proofErr w:type="spellEnd"/>
          <w:r>
            <w:rPr>
              <w:sz w:val="24"/>
              <w:szCs w:val="24"/>
            </w:rPr>
            <w:t>), la loi ALUR prévoit le transfert de la compétence documents d’urbanisme aux communautés de communes et d’agglomération. Elle a donc modifié le Code général des collectivités territoriales pour rendre cette compétence obligatoire.</w:t>
          </w:r>
        </w:p>
        <w:p w:rsidR="00116BE4" w:rsidRDefault="00116BE4" w:rsidP="00116BE4">
          <w:pPr>
            <w:ind w:left="142"/>
            <w:jc w:val="both"/>
            <w:rPr>
              <w:sz w:val="24"/>
              <w:szCs w:val="24"/>
            </w:rPr>
          </w:pPr>
          <w:r>
            <w:rPr>
              <w:sz w:val="24"/>
              <w:szCs w:val="24"/>
            </w:rPr>
            <w:t>Ainsi, la loi ALUR, applicable depuis le 26 mars 2014, dans son article 136, II, 2</w:t>
          </w:r>
          <w:r>
            <w:rPr>
              <w:sz w:val="24"/>
              <w:szCs w:val="24"/>
              <w:vertAlign w:val="superscript"/>
            </w:rPr>
            <w:t>ème</w:t>
          </w:r>
          <w:r>
            <w:rPr>
              <w:sz w:val="24"/>
              <w:szCs w:val="24"/>
            </w:rPr>
            <w:t xml:space="preserve"> alinéa, prévoit que : « Si, à l’expiration d’un délai de trois ans à compter de la publication de la présente loi, la communauté de communes ou la communauté d’agglomération n’est pas devenue compétente en matière de plan local d’urbanisme, de documents d’urbanisme en tenant lieu ou de carte communale, elle le devient de plein droit le premier jour de l’année suivant l’élection du président de la communauté consécutive au renouvellement général des conseils municipaux et communautaires, sauf si les communes s’y opposent dans les conditions prévues au premier alinéa du présent II ».</w:t>
          </w:r>
        </w:p>
        <w:p w:rsidR="00116BE4" w:rsidRDefault="00116BE4" w:rsidP="00116BE4">
          <w:pPr>
            <w:jc w:val="both"/>
            <w:rPr>
              <w:sz w:val="24"/>
              <w:szCs w:val="24"/>
            </w:rPr>
          </w:pPr>
          <w:r>
            <w:rPr>
              <w:sz w:val="24"/>
              <w:szCs w:val="24"/>
            </w:rPr>
            <w:t>Les conditions d’opposition prévues dans l’article 136, II, 1</w:t>
          </w:r>
          <w:r>
            <w:rPr>
              <w:sz w:val="24"/>
              <w:szCs w:val="24"/>
              <w:vertAlign w:val="superscript"/>
            </w:rPr>
            <w:t>er</w:t>
          </w:r>
          <w:r>
            <w:rPr>
              <w:sz w:val="24"/>
              <w:szCs w:val="24"/>
            </w:rPr>
            <w:t xml:space="preserve"> alinéa sont les suivantes : « si, dans les trois mois précédant le terme du délai mentionné précédemment, au moins 25% de la population s’y opposent, ce transfert de compétences n’a pas lieu ».</w:t>
          </w:r>
        </w:p>
        <w:p w:rsidR="00116BE4" w:rsidRDefault="00116BE4" w:rsidP="00116BE4">
          <w:pPr>
            <w:jc w:val="both"/>
            <w:rPr>
              <w:sz w:val="24"/>
              <w:szCs w:val="24"/>
            </w:rPr>
          </w:pPr>
          <w:r>
            <w:rPr>
              <w:sz w:val="24"/>
              <w:szCs w:val="24"/>
            </w:rPr>
            <w:lastRenderedPageBreak/>
            <w:t>Ce qui signifie qu’à compter du 1</w:t>
          </w:r>
          <w:r>
            <w:rPr>
              <w:sz w:val="24"/>
              <w:szCs w:val="24"/>
              <w:vertAlign w:val="superscript"/>
            </w:rPr>
            <w:t>er</w:t>
          </w:r>
          <w:r>
            <w:rPr>
              <w:sz w:val="24"/>
              <w:szCs w:val="24"/>
            </w:rPr>
            <w:t xml:space="preserve"> janvier 2021, la Communauté d’agglomération pourrait devenir compétente dans les domaines cités ci-dessus sauf si le processus permettant d’empêcher ce transfert, prévu par la loi ALUR, est mis en œuvre.</w:t>
          </w:r>
        </w:p>
        <w:p w:rsidR="00116BE4" w:rsidRDefault="00116BE4" w:rsidP="00116BE4">
          <w:pPr>
            <w:jc w:val="both"/>
            <w:rPr>
              <w:sz w:val="24"/>
              <w:szCs w:val="24"/>
            </w:rPr>
          </w:pPr>
          <w:r>
            <w:rPr>
              <w:sz w:val="24"/>
              <w:szCs w:val="24"/>
            </w:rPr>
            <w:t>Afin de manifester son éventuelle opposition, une commune doit donc prendre une délibération.</w:t>
          </w:r>
        </w:p>
        <w:p w:rsidR="00116BE4" w:rsidRDefault="00116BE4" w:rsidP="00116BE4">
          <w:pPr>
            <w:jc w:val="both"/>
            <w:rPr>
              <w:sz w:val="24"/>
              <w:szCs w:val="24"/>
            </w:rPr>
          </w:pPr>
          <w:r>
            <w:rPr>
              <w:sz w:val="24"/>
              <w:szCs w:val="24"/>
            </w:rPr>
            <w:t>Celle-ci est à prendre entre le 1</w:t>
          </w:r>
          <w:r>
            <w:rPr>
              <w:sz w:val="24"/>
              <w:szCs w:val="24"/>
              <w:vertAlign w:val="superscript"/>
            </w:rPr>
            <w:t>er</w:t>
          </w:r>
          <w:r>
            <w:rPr>
              <w:sz w:val="24"/>
              <w:szCs w:val="24"/>
            </w:rPr>
            <w:t xml:space="preserve"> octobre 2020 et le 31 décembre 2020.</w:t>
          </w:r>
        </w:p>
        <w:p w:rsidR="00116BE4" w:rsidRDefault="00116BE4" w:rsidP="00116BE4">
          <w:pPr>
            <w:jc w:val="both"/>
            <w:rPr>
              <w:sz w:val="24"/>
              <w:szCs w:val="24"/>
            </w:rPr>
          </w:pPr>
          <w:r>
            <w:rPr>
              <w:sz w:val="24"/>
              <w:szCs w:val="24"/>
            </w:rPr>
            <w:t>Toutefois, en raison de la crise sanitaire, la date de transfert a été reportée au 1</w:t>
          </w:r>
          <w:r>
            <w:rPr>
              <w:sz w:val="24"/>
              <w:szCs w:val="24"/>
              <w:vertAlign w:val="superscript"/>
            </w:rPr>
            <w:t>er</w:t>
          </w:r>
          <w:r>
            <w:rPr>
              <w:sz w:val="24"/>
              <w:szCs w:val="24"/>
            </w:rPr>
            <w:t xml:space="preserve"> juillet 2021 et les communes doivent délibérer entre le 1</w:t>
          </w:r>
          <w:r>
            <w:rPr>
              <w:sz w:val="24"/>
              <w:szCs w:val="24"/>
              <w:vertAlign w:val="superscript"/>
            </w:rPr>
            <w:t>er</w:t>
          </w:r>
          <w:r>
            <w:rPr>
              <w:sz w:val="24"/>
              <w:szCs w:val="24"/>
            </w:rPr>
            <w:t xml:space="preserve"> avril 2021 et le 30 juin 2021.</w:t>
          </w:r>
        </w:p>
        <w:p w:rsidR="00116BE4" w:rsidRDefault="00116BE4" w:rsidP="00116BE4">
          <w:pPr>
            <w:jc w:val="both"/>
            <w:rPr>
              <w:sz w:val="24"/>
              <w:szCs w:val="24"/>
            </w:rPr>
          </w:pPr>
        </w:p>
        <w:p w:rsidR="00116BE4" w:rsidRDefault="00116BE4" w:rsidP="00116BE4">
          <w:pPr>
            <w:jc w:val="both"/>
            <w:rPr>
              <w:sz w:val="24"/>
              <w:szCs w:val="24"/>
            </w:rPr>
          </w:pPr>
          <w:r>
            <w:rPr>
              <w:sz w:val="24"/>
              <w:szCs w:val="24"/>
            </w:rPr>
            <w:t>Le Conseil Municipal, après délibération et à l’unanimité, décide de :</w:t>
          </w:r>
        </w:p>
        <w:p w:rsidR="00116BE4" w:rsidRDefault="00116BE4" w:rsidP="00116BE4">
          <w:pPr>
            <w:jc w:val="both"/>
            <w:rPr>
              <w:sz w:val="24"/>
              <w:szCs w:val="24"/>
            </w:rPr>
          </w:pPr>
          <w:r>
            <w:rPr>
              <w:sz w:val="24"/>
              <w:szCs w:val="24"/>
            </w:rPr>
            <w:t>* s’opposer au transfert de la compétence PLU à la Communauté d’agglomération du Pays de Laon.</w:t>
          </w:r>
        </w:p>
        <w:p w:rsidR="00116BE4" w:rsidRDefault="00116BE4" w:rsidP="00116BE4">
          <w:pPr>
            <w:jc w:val="both"/>
            <w:rPr>
              <w:sz w:val="24"/>
              <w:szCs w:val="24"/>
            </w:rPr>
          </w:pPr>
          <w:r>
            <w:rPr>
              <w:sz w:val="24"/>
              <w:szCs w:val="24"/>
            </w:rPr>
            <w:t>* demander à la Communauté d’Agglomération du Pays de Laon de prendre acte de cette décision.</w:t>
          </w:r>
        </w:p>
        <w:p w:rsidR="00116BE4" w:rsidRDefault="00116BE4" w:rsidP="00116BE4">
          <w:pPr>
            <w:numPr>
              <w:ilvl w:val="0"/>
              <w:numId w:val="1"/>
            </w:numPr>
            <w:suppressAutoHyphens/>
            <w:overflowPunct w:val="0"/>
            <w:autoSpaceDE w:val="0"/>
            <w:spacing w:after="0" w:line="240" w:lineRule="auto"/>
            <w:ind w:left="426" w:hanging="426"/>
            <w:jc w:val="both"/>
            <w:textAlignment w:val="baseline"/>
            <w:rPr>
              <w:b/>
              <w:sz w:val="24"/>
              <w:szCs w:val="24"/>
            </w:rPr>
          </w:pPr>
          <w:r>
            <w:rPr>
              <w:b/>
              <w:sz w:val="24"/>
              <w:szCs w:val="24"/>
              <w:u w:val="single"/>
            </w:rPr>
            <w:t>Halle des sports de Corbény – Désignation d’un délégué</w:t>
          </w:r>
          <w:r>
            <w:rPr>
              <w:b/>
              <w:sz w:val="24"/>
              <w:szCs w:val="24"/>
            </w:rPr>
            <w:t> :</w:t>
          </w:r>
        </w:p>
        <w:p w:rsidR="00116BE4" w:rsidRPr="00325642" w:rsidRDefault="00116BE4" w:rsidP="00116BE4">
          <w:pPr>
            <w:jc w:val="both"/>
            <w:rPr>
              <w:bCs/>
              <w:sz w:val="24"/>
              <w:szCs w:val="24"/>
            </w:rPr>
          </w:pPr>
          <w:r w:rsidRPr="00325642">
            <w:rPr>
              <w:bCs/>
              <w:sz w:val="24"/>
              <w:szCs w:val="24"/>
            </w:rPr>
            <w:t xml:space="preserve">Mme le Maire </w:t>
          </w:r>
          <w:r>
            <w:rPr>
              <w:bCs/>
              <w:sz w:val="24"/>
              <w:szCs w:val="24"/>
            </w:rPr>
            <w:t xml:space="preserve">souhaite qu’un conseiller soit désigné, en remplacement de M. Daniel MAIZY, pour représenter la commune dans le cadre de la convention signée entre les communes de </w:t>
          </w:r>
          <w:proofErr w:type="spellStart"/>
          <w:r>
            <w:rPr>
              <w:bCs/>
              <w:sz w:val="24"/>
              <w:szCs w:val="24"/>
            </w:rPr>
            <w:t>Monthenault</w:t>
          </w:r>
          <w:proofErr w:type="spellEnd"/>
          <w:r>
            <w:rPr>
              <w:bCs/>
              <w:sz w:val="24"/>
              <w:szCs w:val="24"/>
            </w:rPr>
            <w:t xml:space="preserve"> et de Corbény pour l’entretien du gymnase et de l’aire d’évolution gérée par la commune de Corbény. Elle rappelle le contenu de cette convention.</w:t>
          </w:r>
        </w:p>
        <w:p w:rsidR="00116BE4" w:rsidRPr="00325642" w:rsidRDefault="00116BE4" w:rsidP="00116BE4">
          <w:pPr>
            <w:jc w:val="both"/>
            <w:rPr>
              <w:bCs/>
              <w:sz w:val="24"/>
              <w:szCs w:val="24"/>
            </w:rPr>
          </w:pPr>
          <w:r w:rsidRPr="00325642">
            <w:rPr>
              <w:bCs/>
              <w:sz w:val="24"/>
              <w:szCs w:val="24"/>
            </w:rPr>
            <w:t xml:space="preserve">M. DUPIN </w:t>
          </w:r>
          <w:r>
            <w:rPr>
              <w:bCs/>
              <w:sz w:val="24"/>
              <w:szCs w:val="24"/>
            </w:rPr>
            <w:t>Claude</w:t>
          </w:r>
          <w:r w:rsidRPr="00325642">
            <w:rPr>
              <w:bCs/>
              <w:sz w:val="24"/>
              <w:szCs w:val="24"/>
            </w:rPr>
            <w:t xml:space="preserve"> se propose pour représenter la commune</w:t>
          </w:r>
          <w:r>
            <w:rPr>
              <w:bCs/>
              <w:sz w:val="24"/>
              <w:szCs w:val="24"/>
            </w:rPr>
            <w:t xml:space="preserve"> et assister aux différentes réunions.</w:t>
          </w:r>
        </w:p>
        <w:p w:rsidR="00116BE4" w:rsidRDefault="00116BE4" w:rsidP="00116BE4">
          <w:pPr>
            <w:numPr>
              <w:ilvl w:val="0"/>
              <w:numId w:val="1"/>
            </w:numPr>
            <w:suppressAutoHyphens/>
            <w:overflowPunct w:val="0"/>
            <w:autoSpaceDE w:val="0"/>
            <w:spacing w:after="0" w:line="240" w:lineRule="auto"/>
            <w:ind w:left="0" w:firstLine="0"/>
            <w:jc w:val="both"/>
            <w:textAlignment w:val="baseline"/>
            <w:rPr>
              <w:b/>
              <w:sz w:val="24"/>
              <w:szCs w:val="24"/>
            </w:rPr>
          </w:pPr>
          <w:r>
            <w:rPr>
              <w:b/>
              <w:sz w:val="24"/>
              <w:szCs w:val="24"/>
              <w:u w:val="single"/>
            </w:rPr>
            <w:t xml:space="preserve">Association </w:t>
          </w:r>
          <w:proofErr w:type="spellStart"/>
          <w:r>
            <w:rPr>
              <w:b/>
              <w:sz w:val="24"/>
              <w:szCs w:val="24"/>
              <w:u w:val="single"/>
            </w:rPr>
            <w:t>Monthenault</w:t>
          </w:r>
          <w:proofErr w:type="spellEnd"/>
          <w:r>
            <w:rPr>
              <w:b/>
              <w:sz w:val="24"/>
              <w:szCs w:val="24"/>
              <w:u w:val="single"/>
            </w:rPr>
            <w:t xml:space="preserve"> Animations (A.M.A.)</w:t>
          </w:r>
          <w:r>
            <w:rPr>
              <w:b/>
              <w:sz w:val="24"/>
              <w:szCs w:val="24"/>
            </w:rPr>
            <w:t> :</w:t>
          </w:r>
        </w:p>
        <w:p w:rsidR="00116BE4" w:rsidRDefault="00116BE4" w:rsidP="00116BE4">
          <w:pPr>
            <w:jc w:val="both"/>
            <w:rPr>
              <w:bCs/>
              <w:sz w:val="24"/>
              <w:szCs w:val="24"/>
            </w:rPr>
          </w:pPr>
          <w:r w:rsidRPr="00E11A1E">
            <w:rPr>
              <w:bCs/>
              <w:sz w:val="24"/>
              <w:szCs w:val="24"/>
            </w:rPr>
            <w:t>Mme le Maire laisse la parole à M. Claude DUPIN</w:t>
          </w:r>
          <w:r>
            <w:rPr>
              <w:bCs/>
              <w:sz w:val="24"/>
              <w:szCs w:val="24"/>
            </w:rPr>
            <w:t xml:space="preserve"> concernant l’avenir de l’A.M.A dont il est le secrétaire.</w:t>
          </w:r>
        </w:p>
        <w:p w:rsidR="00116BE4" w:rsidRDefault="00116BE4" w:rsidP="00116BE4">
          <w:pPr>
            <w:jc w:val="both"/>
            <w:rPr>
              <w:bCs/>
              <w:sz w:val="24"/>
              <w:szCs w:val="24"/>
            </w:rPr>
          </w:pPr>
          <w:r>
            <w:rPr>
              <w:bCs/>
              <w:sz w:val="24"/>
              <w:szCs w:val="24"/>
            </w:rPr>
            <w:t>M. DUPIN expose la situation de l’association qui connait des difficultés financières. Suite à la situation sanitaire 2020-2021, elle n’a pu organiser aucune manifestation. De plus, l’assureur de l’association lui réclame une cotisation de 250 € alors qu’il ne lui reste en compte que 70 €.</w:t>
          </w:r>
        </w:p>
        <w:p w:rsidR="00116BE4" w:rsidRDefault="00116BE4" w:rsidP="00116BE4">
          <w:pPr>
            <w:jc w:val="both"/>
            <w:rPr>
              <w:bCs/>
              <w:sz w:val="24"/>
              <w:szCs w:val="24"/>
            </w:rPr>
          </w:pPr>
          <w:r>
            <w:rPr>
              <w:bCs/>
              <w:sz w:val="24"/>
              <w:szCs w:val="24"/>
            </w:rPr>
            <w:t>Lors de la réunion de l’A.M.A, il a été envisagé la possibilité de la transformer en commission communale.</w:t>
          </w:r>
        </w:p>
        <w:p w:rsidR="00116BE4" w:rsidRDefault="00116BE4" w:rsidP="00116BE4">
          <w:pPr>
            <w:jc w:val="both"/>
            <w:rPr>
              <w:bCs/>
              <w:sz w:val="24"/>
              <w:szCs w:val="24"/>
            </w:rPr>
          </w:pPr>
          <w:r>
            <w:rPr>
              <w:bCs/>
              <w:sz w:val="24"/>
              <w:szCs w:val="24"/>
            </w:rPr>
            <w:t xml:space="preserve">Après discussion au sein du conseil municipal et devant les contraintes à la mise en place d’une commission communale, le conseil décide par 8 voix pour, 1 abstention (M. DUPIN ne prenant pas part au vote), d’accorder une subvention de 150 € à l’Association </w:t>
          </w:r>
          <w:proofErr w:type="spellStart"/>
          <w:r>
            <w:rPr>
              <w:bCs/>
              <w:sz w:val="24"/>
              <w:szCs w:val="24"/>
            </w:rPr>
            <w:t>Monthenault</w:t>
          </w:r>
          <w:proofErr w:type="spellEnd"/>
          <w:r>
            <w:rPr>
              <w:bCs/>
              <w:sz w:val="24"/>
              <w:szCs w:val="24"/>
            </w:rPr>
            <w:t>-Animations pour l’année 2021 et conseille à l’A.M.A de renégocier son assurance.</w:t>
          </w:r>
        </w:p>
        <w:p w:rsidR="00116BE4" w:rsidRDefault="00116BE4" w:rsidP="00116BE4">
          <w:pPr>
            <w:jc w:val="both"/>
            <w:rPr>
              <w:bCs/>
              <w:sz w:val="24"/>
              <w:szCs w:val="24"/>
            </w:rPr>
          </w:pPr>
        </w:p>
        <w:p w:rsidR="00C176B1" w:rsidRDefault="00C176B1" w:rsidP="00116BE4">
          <w:pPr>
            <w:jc w:val="both"/>
            <w:rPr>
              <w:bCs/>
              <w:sz w:val="24"/>
              <w:szCs w:val="24"/>
            </w:rPr>
          </w:pPr>
        </w:p>
        <w:p w:rsidR="00C176B1" w:rsidRDefault="00C176B1" w:rsidP="00116BE4">
          <w:pPr>
            <w:jc w:val="both"/>
            <w:rPr>
              <w:bCs/>
              <w:sz w:val="24"/>
              <w:szCs w:val="24"/>
            </w:rPr>
          </w:pPr>
        </w:p>
        <w:p w:rsidR="00C176B1" w:rsidRDefault="00C176B1" w:rsidP="00116BE4">
          <w:pPr>
            <w:jc w:val="both"/>
            <w:rPr>
              <w:bCs/>
              <w:sz w:val="24"/>
              <w:szCs w:val="24"/>
            </w:rPr>
          </w:pPr>
        </w:p>
        <w:p w:rsidR="00C176B1" w:rsidRDefault="00C176B1" w:rsidP="00116BE4">
          <w:pPr>
            <w:jc w:val="both"/>
            <w:rPr>
              <w:bCs/>
              <w:sz w:val="24"/>
              <w:szCs w:val="24"/>
            </w:rPr>
          </w:pPr>
        </w:p>
        <w:p w:rsidR="00C176B1" w:rsidRDefault="00C176B1" w:rsidP="00116BE4">
          <w:pPr>
            <w:jc w:val="both"/>
            <w:rPr>
              <w:bCs/>
              <w:sz w:val="24"/>
              <w:szCs w:val="24"/>
            </w:rPr>
          </w:pPr>
        </w:p>
        <w:p w:rsidR="00C176B1" w:rsidRDefault="00C176B1" w:rsidP="00116BE4">
          <w:pPr>
            <w:jc w:val="both"/>
            <w:rPr>
              <w:bCs/>
              <w:sz w:val="24"/>
              <w:szCs w:val="24"/>
            </w:rPr>
          </w:pPr>
          <w:r>
            <w:rPr>
              <w:bCs/>
              <w:noProof/>
              <w:sz w:val="24"/>
              <w:szCs w:val="24"/>
              <w:lang w:eastAsia="fr-FR"/>
            </w:rPr>
            <mc:AlternateContent>
              <mc:Choice Requires="wps">
                <w:drawing>
                  <wp:anchor distT="0" distB="0" distL="114300" distR="114300" simplePos="0" relativeHeight="251660288" behindDoc="0" locked="0" layoutInCell="1" allowOverlap="1">
                    <wp:simplePos x="0" y="0"/>
                    <wp:positionH relativeFrom="column">
                      <wp:posOffset>5701996</wp:posOffset>
                    </wp:positionH>
                    <wp:positionV relativeFrom="paragraph">
                      <wp:posOffset>100457</wp:posOffset>
                    </wp:positionV>
                    <wp:extent cx="636423" cy="402336"/>
                    <wp:effectExtent l="0" t="19050" r="30480" b="36195"/>
                    <wp:wrapNone/>
                    <wp:docPr id="5" name="Flèche droite rayée 5"/>
                    <wp:cNvGraphicFramePr/>
                    <a:graphic xmlns:a="http://schemas.openxmlformats.org/drawingml/2006/main">
                      <a:graphicData uri="http://schemas.microsoft.com/office/word/2010/wordprocessingShape">
                        <wps:wsp>
                          <wps:cNvSpPr/>
                          <wps:spPr>
                            <a:xfrm>
                              <a:off x="0" y="0"/>
                              <a:ext cx="636423" cy="402336"/>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FE3BB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èche droite rayée 5" o:spid="_x0000_s1026" type="#_x0000_t93" style="position:absolute;margin-left:449pt;margin-top:7.9pt;width:50.1pt;height:31.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MHigIAAFEFAAAOAAAAZHJzL2Uyb0RvYy54bWysVM1u2zAMvg/YOwi6r3Z+twV1iqBFhwFF&#10;W7QdelZlORYgixqlxMmeaHuOvlgp2XGLtthhmA+yKJIfyU+kjk92jWFbhV6DLfjoKOdMWQmltuuC&#10;/7g7//SFMx+ELYUBqwq+V56fLD9+OG7dQo2hBlMqZARi/aJ1Ba9DcIss87JWjfBH4JQlZQXYiEAi&#10;rrMSRUvojcnGeT7PWsDSIUjlPZ2edUq+TPhVpWS4qiqvAjMFp9xCWjGtD3HNlsdisUbhai37NMQ/&#10;ZNEIbSnoAHUmgmAb1G+gGi0RPFThSEKTQVVpqVINVM0of1XNbS2cSrUQOd4NNPn/Bysvt9fIdFnw&#10;GWdWNHRF5+bxN9HPSgQdFEOxf/yj2CxS1Tq/II9bd4295Gkb695V2MQ/VcR2id79QK/aBSbpcD6Z&#10;T8cTziSppvl4MplHzOzZ2aEP3xQ0LG4K7gNqp8obva7DChHaxLDYXvjQ+R3sCSRm1uWSdmFvVEzH&#10;2BtVUXkUfZy8U2OpU4NsK6glhJTKhlGnqkWpuuNZTl+f3OCRUk2AEbnSxgzYPUBs2rfYXa69fXRV&#10;qS8H5/xviXXOg0eKDDYMzo22gO8BGKqqj9zZH0jqqIksPUC5p8tH6KbCO3muifgL4cO1QBoDGhga&#10;7XBFS2WgLTj0O85qwF/vnUd76k7SctbSWNEt/twIVJyZ75b69utoOo1zmITp7POYBHypeXipsZvm&#10;FOiaRvSIOJm20T6Yw7ZCaO7pBVjFqKQSVlLsgsuAB+E0dONOb4hUq1Uyo9lzIlzYWycjeGQ19tLd&#10;7l6g67svUNtewmEExeJV33W20dPCahOg0qkpn3nt+aa5TY3TvzHxYXgpJ6vnl3D5BAAA//8DAFBL&#10;AwQUAAYACAAAACEAt2qbM90AAAAJAQAADwAAAGRycy9kb3ducmV2LnhtbEyPy07DMBBF90j8gzVI&#10;3VGHSAUnxKkQUlYVi7QVazeePGg8jmK3DX/PsILl6F7dOafYLm4UV5zD4EnD0zoBgdR4O1Cn4Xio&#10;HhWIEA1ZM3pCDd8YYFve3xUmt/5GNV73sRM8QiE3GvoYp1zK0PToTFj7CYmz1s/ORD7nTtrZ3Hjc&#10;jTJNkmfpzED8oTcTvvfYnPcXpyFEef6ovupd/dnatqoOG5Rq0nr1sLy9goi4xL8y/OIzOpTMdPIX&#10;skGMGlSm2CVysGEFLmSZSkGcNLxkKciykP8Nyh8AAAD//wMAUEsBAi0AFAAGAAgAAAAhALaDOJL+&#10;AAAA4QEAABMAAAAAAAAAAAAAAAAAAAAAAFtDb250ZW50X1R5cGVzXS54bWxQSwECLQAUAAYACAAA&#10;ACEAOP0h/9YAAACUAQAACwAAAAAAAAAAAAAAAAAvAQAAX3JlbHMvLnJlbHNQSwECLQAUAAYACAAA&#10;ACEASGrTB4oCAABRBQAADgAAAAAAAAAAAAAAAAAuAgAAZHJzL2Uyb0RvYy54bWxQSwECLQAUAAYA&#10;CAAAACEAt2qbM90AAAAJAQAADwAAAAAAAAAAAAAAAADkBAAAZHJzL2Rvd25yZXYueG1sUEsFBgAA&#10;AAAEAAQA8wAAAO4FAAAAAA==&#10;" adj="14772" fillcolor="#5b9bd5 [3204]" strokecolor="#1f4d78 [1604]" strokeweight="1pt"/>
                </w:pict>
              </mc:Fallback>
            </mc:AlternateContent>
          </w:r>
        </w:p>
        <w:p w:rsidR="00C176B1" w:rsidRDefault="00C176B1" w:rsidP="00116BE4">
          <w:pPr>
            <w:jc w:val="both"/>
            <w:rPr>
              <w:bCs/>
              <w:sz w:val="24"/>
              <w:szCs w:val="24"/>
            </w:rPr>
          </w:pPr>
        </w:p>
        <w:p w:rsidR="00C176B1" w:rsidRDefault="00C176B1" w:rsidP="00C176B1">
          <w:pPr>
            <w:jc w:val="right"/>
            <w:rPr>
              <w:bCs/>
              <w:sz w:val="24"/>
              <w:szCs w:val="24"/>
            </w:rPr>
          </w:pPr>
        </w:p>
        <w:p w:rsidR="00116BE4" w:rsidRDefault="00116BE4" w:rsidP="00116BE4">
          <w:pPr>
            <w:jc w:val="center"/>
            <w:rPr>
              <w:bCs/>
              <w:sz w:val="24"/>
              <w:szCs w:val="24"/>
            </w:rPr>
          </w:pPr>
          <w:r>
            <w:rPr>
              <w:noProof/>
              <w:sz w:val="24"/>
              <w:szCs w:val="24"/>
              <w:lang w:eastAsia="fr-FR"/>
            </w:rPr>
            <w:lastRenderedPageBreak/>
            <w:drawing>
              <wp:inline distT="0" distB="0" distL="0" distR="0" wp14:anchorId="7306914C" wp14:editId="5E010C04">
                <wp:extent cx="4005316" cy="3864127"/>
                <wp:effectExtent l="0" t="0" r="0" b="317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ISSANCE.jpg"/>
                        <pic:cNvPicPr/>
                      </pic:nvPicPr>
                      <pic:blipFill>
                        <a:blip r:embed="rId10">
                          <a:extLst>
                            <a:ext uri="{28A0092B-C50C-407E-A947-70E740481C1C}">
                              <a14:useLocalDpi xmlns:a14="http://schemas.microsoft.com/office/drawing/2010/main" val="0"/>
                            </a:ext>
                          </a:extLst>
                        </a:blip>
                        <a:stretch>
                          <a:fillRect/>
                        </a:stretch>
                      </pic:blipFill>
                      <pic:spPr>
                        <a:xfrm>
                          <a:off x="0" y="0"/>
                          <a:ext cx="4047580" cy="3904901"/>
                        </a:xfrm>
                        <a:prstGeom prst="rect">
                          <a:avLst/>
                        </a:prstGeom>
                      </pic:spPr>
                    </pic:pic>
                  </a:graphicData>
                </a:graphic>
              </wp:inline>
            </w:drawing>
          </w:r>
        </w:p>
        <w:p w:rsidR="00116BE4" w:rsidRDefault="00116BE4" w:rsidP="00116BE4">
          <w:pPr>
            <w:jc w:val="both"/>
            <w:rPr>
              <w:bCs/>
              <w:sz w:val="24"/>
              <w:szCs w:val="24"/>
            </w:rPr>
          </w:pPr>
        </w:p>
        <w:p w:rsidR="00116BE4" w:rsidRDefault="00116BE4" w:rsidP="00116BE4">
          <w:pPr>
            <w:jc w:val="both"/>
            <w:rPr>
              <w:bCs/>
              <w:sz w:val="24"/>
              <w:szCs w:val="24"/>
            </w:rPr>
          </w:pPr>
        </w:p>
        <w:p w:rsidR="00116BE4" w:rsidRDefault="00C176B1" w:rsidP="00116BE4">
          <w:pPr>
            <w:jc w:val="center"/>
            <w:rPr>
              <w:bCs/>
              <w:sz w:val="24"/>
              <w:szCs w:val="24"/>
            </w:rPr>
          </w:pPr>
          <w:r>
            <w:rPr>
              <w:noProof/>
              <w:sz w:val="24"/>
              <w:szCs w:val="24"/>
              <w:lang w:eastAsia="fr-FR"/>
            </w:rPr>
            <mc:AlternateContent>
              <mc:Choice Requires="wps">
                <w:drawing>
                  <wp:anchor distT="0" distB="0" distL="114300" distR="114300" simplePos="0" relativeHeight="251661312" behindDoc="0" locked="0" layoutInCell="1" allowOverlap="1">
                    <wp:simplePos x="0" y="0"/>
                    <wp:positionH relativeFrom="column">
                      <wp:posOffset>5738749</wp:posOffset>
                    </wp:positionH>
                    <wp:positionV relativeFrom="paragraph">
                      <wp:posOffset>4556532</wp:posOffset>
                    </wp:positionV>
                    <wp:extent cx="775412" cy="321869"/>
                    <wp:effectExtent l="0" t="19050" r="43815" b="40640"/>
                    <wp:wrapNone/>
                    <wp:docPr id="6" name="Flèche droite rayée 6"/>
                    <wp:cNvGraphicFramePr/>
                    <a:graphic xmlns:a="http://schemas.openxmlformats.org/drawingml/2006/main">
                      <a:graphicData uri="http://schemas.microsoft.com/office/word/2010/wordprocessingShape">
                        <wps:wsp>
                          <wps:cNvSpPr/>
                          <wps:spPr>
                            <a:xfrm>
                              <a:off x="0" y="0"/>
                              <a:ext cx="775412" cy="321869"/>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D144F9" id="Flèche droite rayée 6" o:spid="_x0000_s1026" type="#_x0000_t93" style="position:absolute;margin-left:451.85pt;margin-top:358.8pt;width:61.05pt;height:25.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rEiwIAAFEFAAAOAAAAZHJzL2Uyb0RvYy54bWysVFFPGzEMfp+0/xDlfVzblQIVV1SBmCYh&#10;hoCJ55BLepFyceakvXa/aPsd/LE5ueuBAO1h2j3k4tj+bH+xc3q2bSzbKAwGXMnHByPOlJNQGbcq&#10;+ff7y0/HnIUoXCUsOFXynQr8bPHxw2nr52oCNdhKISMQF+atL3kdo58XRZC1akQ4AK8cKTVgIyKJ&#10;uCoqFC2hN7aYjEazogWsPIJUIdDpRafki4yvtZLxm9ZBRWZLTrnFvGJeH9NaLE7FfIXC10b2aYh/&#10;yKIRxlHQAepCRMHWaN5ANUYiBNDxQEJTgNZGqlwDVTMevarmrhZe5VqInOAHmsL/g5XXmxtkpir5&#10;jDMnGrqiS/v0i+hnFYKJiqHYPf1WbJaoan2Yk8edv8FeCrRNdW81NulPFbFtpnc30Ku2kUk6PDo6&#10;nI4nnElSfZ6Mj2cnCbN4dvYY4hcFDUubkoeIxqvq1qzquESENjMsNlchdn57ewJJmXW55F3cWZXS&#10;se5WaSqPok+yd24sdW6RbQS1hJBSuTjuVLWoVHd8OKKvT27wyKlmwISsjbUDdg+QmvYtdpdrb59c&#10;Ve7LwXn0t8Q658EjRwYXB+fGOMD3ACxV1Ufu7PckddQklh6h2tHlI3RTEby8NET8lQjxRiCNAQ0M&#10;jXb8Rou20JYc+h1nNeDP986TPXUnaTlraazoFn+sBSrO7FdHfXsynk7THGZheng0IQFfah5faty6&#10;OQe6pjE9Il7mbbKPdr/VCM0DvQDLFJVUwkmKXXIZcS+cx27c6Q2RarnMZjR7XsQrd+dlAk+spl66&#10;3z4I9H33RWrba9iPoJi/6rvONnk6WK4jaJOb8pnXnm+a29w4/RuTHoaXcrZ6fgkXfwAAAP//AwBQ&#10;SwMEFAAGAAgAAAAhADmqEELeAAAADAEAAA8AAABkcnMvZG93bnJldi54bWxMj8FOwzAMhu9IvENk&#10;JG4s6aamW2k6ISTOiIGAY9aYtCJxqiZby9uTneBo+9Pv72/2i3fsjFMcAikoVgIYUhfMQFbB2+vT&#10;3RZYTJqMdoFQwQ9G2LfXV42uTZjpBc+HZFkOoVhrBX1KY8157Hr0Oq7CiJRvX2HyOuVxstxMes7h&#10;3vG1EJJ7PVD+0OsRH3vsvg8nryDtnl1h34vy01OQ8mO2XWlnpW5vlod7YAmX9AfDRT+rQ5udjuFE&#10;JjKnYCc2VUYVVEUlgV0IsS5zm2Neye0GeNvw/yXaXwAAAP//AwBQSwECLQAUAAYACAAAACEAtoM4&#10;kv4AAADhAQAAEwAAAAAAAAAAAAAAAAAAAAAAW0NvbnRlbnRfVHlwZXNdLnhtbFBLAQItABQABgAI&#10;AAAAIQA4/SH/1gAAAJQBAAALAAAAAAAAAAAAAAAAAC8BAABfcmVscy8ucmVsc1BLAQItABQABgAI&#10;AAAAIQBmnMrEiwIAAFEFAAAOAAAAAAAAAAAAAAAAAC4CAABkcnMvZTJvRG9jLnhtbFBLAQItABQA&#10;BgAIAAAAIQA5qhBC3gAAAAwBAAAPAAAAAAAAAAAAAAAAAOUEAABkcnMvZG93bnJldi54bWxQSwUG&#10;AAAAAAQABADzAAAA8AUAAAAA&#10;" adj="17117" fillcolor="#5b9bd5 [3204]" strokecolor="#1f4d78 [1604]" strokeweight="1pt"/>
                </w:pict>
              </mc:Fallback>
            </mc:AlternateContent>
          </w:r>
          <w:r w:rsidR="00116BE4">
            <w:rPr>
              <w:noProof/>
              <w:sz w:val="24"/>
              <w:szCs w:val="24"/>
              <w:lang w:eastAsia="fr-FR"/>
            </w:rPr>
            <w:drawing>
              <wp:inline distT="0" distB="0" distL="0" distR="0" wp14:anchorId="37F76C94" wp14:editId="2A0D312D">
                <wp:extent cx="6645910" cy="4679315"/>
                <wp:effectExtent l="0" t="0" r="254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VIS DECES.jpg"/>
                        <pic:cNvPicPr/>
                      </pic:nvPicPr>
                      <pic:blipFill>
                        <a:blip r:embed="rId11">
                          <a:extLst>
                            <a:ext uri="{28A0092B-C50C-407E-A947-70E740481C1C}">
                              <a14:useLocalDpi xmlns:a14="http://schemas.microsoft.com/office/drawing/2010/main" val="0"/>
                            </a:ext>
                          </a:extLst>
                        </a:blip>
                        <a:stretch>
                          <a:fillRect/>
                        </a:stretch>
                      </pic:blipFill>
                      <pic:spPr>
                        <a:xfrm>
                          <a:off x="0" y="0"/>
                          <a:ext cx="6645910" cy="4679315"/>
                        </a:xfrm>
                        <a:prstGeom prst="rect">
                          <a:avLst/>
                        </a:prstGeom>
                      </pic:spPr>
                    </pic:pic>
                  </a:graphicData>
                </a:graphic>
              </wp:inline>
            </w:drawing>
          </w:r>
        </w:p>
        <w:p w:rsidR="00116BE4" w:rsidRDefault="00116BE4" w:rsidP="00116BE4">
          <w:pPr>
            <w:jc w:val="center"/>
            <w:rPr>
              <w:sz w:val="24"/>
              <w:szCs w:val="24"/>
            </w:rPr>
          </w:pPr>
          <w:r>
            <w:rPr>
              <w:noProof/>
              <w:sz w:val="24"/>
              <w:szCs w:val="24"/>
              <w:lang w:eastAsia="fr-FR"/>
            </w:rPr>
            <w:lastRenderedPageBreak/>
            <w:drawing>
              <wp:inline distT="0" distB="0" distL="0" distR="0" wp14:anchorId="56AC93BF" wp14:editId="35ACE878">
                <wp:extent cx="6645910" cy="38690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E.jpg"/>
                        <pic:cNvPicPr/>
                      </pic:nvPicPr>
                      <pic:blipFill>
                        <a:blip r:embed="rId12">
                          <a:extLst>
                            <a:ext uri="{28A0092B-C50C-407E-A947-70E740481C1C}">
                              <a14:useLocalDpi xmlns:a14="http://schemas.microsoft.com/office/drawing/2010/main" val="0"/>
                            </a:ext>
                          </a:extLst>
                        </a:blip>
                        <a:stretch>
                          <a:fillRect/>
                        </a:stretch>
                      </pic:blipFill>
                      <pic:spPr>
                        <a:xfrm>
                          <a:off x="0" y="0"/>
                          <a:ext cx="6645910" cy="3869055"/>
                        </a:xfrm>
                        <a:prstGeom prst="rect">
                          <a:avLst/>
                        </a:prstGeom>
                      </pic:spPr>
                    </pic:pic>
                  </a:graphicData>
                </a:graphic>
              </wp:inline>
            </w:drawing>
          </w:r>
        </w:p>
      </w:sdtContent>
    </w:sdt>
    <w:p w:rsidR="00116BE4" w:rsidRDefault="00116BE4"/>
    <w:p w:rsidR="00116BE4" w:rsidRDefault="00116BE4" w:rsidP="00116BE4">
      <w:pPr>
        <w:pStyle w:val="Sansinterligne"/>
        <w:spacing w:before="1540" w:after="240"/>
        <w:jc w:val="center"/>
      </w:pPr>
      <w:r>
        <w:br w:type="page"/>
      </w:r>
    </w:p>
    <w:sdt>
      <w:sdtPr>
        <w:rPr>
          <w:rFonts w:eastAsiaTheme="minorHAnsi"/>
          <w:color w:val="5B9BD5" w:themeColor="accent1"/>
          <w:lang w:eastAsia="en-US"/>
        </w:rPr>
        <w:id w:val="572090372"/>
        <w:docPartObj>
          <w:docPartGallery w:val="Cover Pages"/>
          <w:docPartUnique/>
        </w:docPartObj>
      </w:sdtPr>
      <w:sdtEndPr>
        <w:rPr>
          <w:color w:val="auto"/>
          <w:sz w:val="24"/>
          <w:szCs w:val="24"/>
        </w:rPr>
      </w:sdtEndPr>
      <w:sdtContent>
        <w:p w:rsidR="00116BE4" w:rsidRDefault="00116BE4" w:rsidP="00116BE4">
          <w:pPr>
            <w:pStyle w:val="Sansinterligne"/>
            <w:spacing w:before="1540" w:after="240"/>
            <w:jc w:val="center"/>
            <w:rPr>
              <w:color w:val="5B9BD5" w:themeColor="accent1"/>
            </w:rPr>
          </w:pPr>
        </w:p>
        <w:p w:rsidR="00116BE4" w:rsidRDefault="00116BE4" w:rsidP="00116BE4">
          <w:pPr>
            <w:rPr>
              <w:sz w:val="24"/>
              <w:szCs w:val="24"/>
            </w:rPr>
          </w:pPr>
          <w:r>
            <w:rPr>
              <w:sz w:val="24"/>
              <w:szCs w:val="24"/>
            </w:rPr>
            <w:br w:type="page"/>
          </w:r>
        </w:p>
      </w:sdtContent>
    </w:sdt>
    <w:p w:rsidR="00116BE4" w:rsidRDefault="00116BE4"/>
    <w:p w:rsidR="00091BB1" w:rsidRDefault="00091BB1"/>
    <w:sectPr w:rsidR="00091BB1" w:rsidSect="00116BE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62B" w:rsidRDefault="0063262B" w:rsidP="00116BE4">
      <w:pPr>
        <w:spacing w:after="0" w:line="240" w:lineRule="auto"/>
      </w:pPr>
      <w:r>
        <w:separator/>
      </w:r>
    </w:p>
  </w:endnote>
  <w:endnote w:type="continuationSeparator" w:id="0">
    <w:p w:rsidR="0063262B" w:rsidRDefault="0063262B" w:rsidP="00116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E4" w:rsidRDefault="00116BE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491098"/>
      <w:docPartObj>
        <w:docPartGallery w:val="Page Numbers (Bottom of Page)"/>
        <w:docPartUnique/>
      </w:docPartObj>
    </w:sdtPr>
    <w:sdtEndPr/>
    <w:sdtContent>
      <w:p w:rsidR="00116BE4" w:rsidRDefault="00116BE4">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116BE4" w:rsidRDefault="00116BE4">
                              <w:pPr>
                                <w:jc w:val="center"/>
                              </w:pPr>
                              <w:r>
                                <w:fldChar w:fldCharType="begin"/>
                              </w:r>
                              <w:r>
                                <w:instrText>PAGE    \* MERGEFORMAT</w:instrText>
                              </w:r>
                              <w:r>
                                <w:fldChar w:fldCharType="separate"/>
                              </w:r>
                              <w:r w:rsidR="00F41FFC" w:rsidRPr="00F41FFC">
                                <w:rPr>
                                  <w:noProof/>
                                  <w:sz w:val="16"/>
                                  <w:szCs w:val="16"/>
                                </w:rPr>
                                <w:t>7</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7"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rsidR="00116BE4" w:rsidRDefault="00116BE4">
                        <w:pPr>
                          <w:jc w:val="center"/>
                        </w:pPr>
                        <w:r>
                          <w:fldChar w:fldCharType="begin"/>
                        </w:r>
                        <w:r>
                          <w:instrText>PAGE    \* MERGEFORMAT</w:instrText>
                        </w:r>
                        <w:r>
                          <w:fldChar w:fldCharType="separate"/>
                        </w:r>
                        <w:r w:rsidR="00F41FFC" w:rsidRPr="00F41FFC">
                          <w:rPr>
                            <w:noProof/>
                            <w:sz w:val="16"/>
                            <w:szCs w:val="16"/>
                          </w:rPr>
                          <w:t>7</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E4" w:rsidRDefault="00116BE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62B" w:rsidRDefault="0063262B" w:rsidP="00116BE4">
      <w:pPr>
        <w:spacing w:after="0" w:line="240" w:lineRule="auto"/>
      </w:pPr>
      <w:r>
        <w:separator/>
      </w:r>
    </w:p>
  </w:footnote>
  <w:footnote w:type="continuationSeparator" w:id="0">
    <w:p w:rsidR="0063262B" w:rsidRDefault="0063262B" w:rsidP="00116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E4" w:rsidRDefault="00116BE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E4" w:rsidRDefault="00116BE4">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E4" w:rsidRDefault="00116BE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3"/>
      <w:numFmt w:val="bullet"/>
      <w:lvlText w:val=""/>
      <w:lvlJc w:val="left"/>
      <w:pPr>
        <w:tabs>
          <w:tab w:val="num" w:pos="0"/>
        </w:tabs>
        <w:ind w:left="359" w:hanging="360"/>
      </w:pPr>
      <w:rPr>
        <w:rFonts w:ascii="Symbol" w:hAnsi="Symbol" w:cs="Times New Roman" w:hint="default"/>
      </w:rPr>
    </w:lvl>
  </w:abstractNum>
  <w:abstractNum w:abstractNumId="1" w15:restartNumberingAfterBreak="0">
    <w:nsid w:val="040727B1"/>
    <w:multiLevelType w:val="multilevel"/>
    <w:tmpl w:val="FB161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64590"/>
    <w:multiLevelType w:val="hybridMultilevel"/>
    <w:tmpl w:val="4600DE8E"/>
    <w:lvl w:ilvl="0" w:tplc="8BB886F0">
      <w:start w:val="1"/>
      <w:numFmt w:val="upperRoman"/>
      <w:lvlText w:val="%1)"/>
      <w:lvlJc w:val="left"/>
      <w:pPr>
        <w:ind w:left="705" w:hanging="720"/>
      </w:pPr>
      <w:rPr>
        <w:rFonts w:hint="default"/>
        <w:b/>
      </w:rPr>
    </w:lvl>
    <w:lvl w:ilvl="1" w:tplc="040C0019" w:tentative="1">
      <w:start w:val="1"/>
      <w:numFmt w:val="lowerLetter"/>
      <w:lvlText w:val="%2."/>
      <w:lvlJc w:val="left"/>
      <w:pPr>
        <w:ind w:left="1065" w:hanging="360"/>
      </w:pPr>
    </w:lvl>
    <w:lvl w:ilvl="2" w:tplc="040C001B" w:tentative="1">
      <w:start w:val="1"/>
      <w:numFmt w:val="lowerRoman"/>
      <w:lvlText w:val="%3."/>
      <w:lvlJc w:val="right"/>
      <w:pPr>
        <w:ind w:left="1785" w:hanging="180"/>
      </w:pPr>
    </w:lvl>
    <w:lvl w:ilvl="3" w:tplc="040C000F" w:tentative="1">
      <w:start w:val="1"/>
      <w:numFmt w:val="decimal"/>
      <w:lvlText w:val="%4."/>
      <w:lvlJc w:val="left"/>
      <w:pPr>
        <w:ind w:left="2505" w:hanging="360"/>
      </w:pPr>
    </w:lvl>
    <w:lvl w:ilvl="4" w:tplc="040C0019" w:tentative="1">
      <w:start w:val="1"/>
      <w:numFmt w:val="lowerLetter"/>
      <w:lvlText w:val="%5."/>
      <w:lvlJc w:val="left"/>
      <w:pPr>
        <w:ind w:left="3225" w:hanging="360"/>
      </w:pPr>
    </w:lvl>
    <w:lvl w:ilvl="5" w:tplc="040C001B" w:tentative="1">
      <w:start w:val="1"/>
      <w:numFmt w:val="lowerRoman"/>
      <w:lvlText w:val="%6."/>
      <w:lvlJc w:val="right"/>
      <w:pPr>
        <w:ind w:left="3945" w:hanging="180"/>
      </w:pPr>
    </w:lvl>
    <w:lvl w:ilvl="6" w:tplc="040C000F" w:tentative="1">
      <w:start w:val="1"/>
      <w:numFmt w:val="decimal"/>
      <w:lvlText w:val="%7."/>
      <w:lvlJc w:val="left"/>
      <w:pPr>
        <w:ind w:left="4665" w:hanging="360"/>
      </w:pPr>
    </w:lvl>
    <w:lvl w:ilvl="7" w:tplc="040C0019" w:tentative="1">
      <w:start w:val="1"/>
      <w:numFmt w:val="lowerLetter"/>
      <w:lvlText w:val="%8."/>
      <w:lvlJc w:val="left"/>
      <w:pPr>
        <w:ind w:left="5385" w:hanging="360"/>
      </w:pPr>
    </w:lvl>
    <w:lvl w:ilvl="8" w:tplc="040C001B" w:tentative="1">
      <w:start w:val="1"/>
      <w:numFmt w:val="lowerRoman"/>
      <w:lvlText w:val="%9."/>
      <w:lvlJc w:val="right"/>
      <w:pPr>
        <w:ind w:left="6105" w:hanging="180"/>
      </w:pPr>
    </w:lvl>
  </w:abstractNum>
  <w:abstractNum w:abstractNumId="3" w15:restartNumberingAfterBreak="0">
    <w:nsid w:val="509404DB"/>
    <w:multiLevelType w:val="hybridMultilevel"/>
    <w:tmpl w:val="65CE29D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2A67FC"/>
    <w:multiLevelType w:val="multilevel"/>
    <w:tmpl w:val="D806D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9707C6"/>
    <w:multiLevelType w:val="hybridMultilevel"/>
    <w:tmpl w:val="62EC6B02"/>
    <w:lvl w:ilvl="0" w:tplc="DB329E0A">
      <w:start w:val="23"/>
      <w:numFmt w:val="bullet"/>
      <w:lvlText w:val="-"/>
      <w:lvlJc w:val="left"/>
      <w:pPr>
        <w:ind w:left="719" w:hanging="360"/>
      </w:pPr>
      <w:rPr>
        <w:rFonts w:ascii="Times New Roman" w:eastAsia="Times New Roman" w:hAnsi="Times New Roman" w:cs="Times New Roman"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6" w15:restartNumberingAfterBreak="0">
    <w:nsid w:val="7CCE30DF"/>
    <w:multiLevelType w:val="multilevel"/>
    <w:tmpl w:val="4A9220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E4"/>
    <w:rsid w:val="00091BB1"/>
    <w:rsid w:val="00116BE4"/>
    <w:rsid w:val="0063262B"/>
    <w:rsid w:val="00731C39"/>
    <w:rsid w:val="00C176B1"/>
    <w:rsid w:val="00F41FFC"/>
    <w:rsid w:val="00F46014"/>
    <w:rsid w:val="00F745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D85C1C-EC82-4D5C-A898-477E621E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16BE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16BE4"/>
    <w:rPr>
      <w:rFonts w:eastAsiaTheme="minorEastAsia"/>
      <w:lang w:eastAsia="fr-FR"/>
    </w:rPr>
  </w:style>
  <w:style w:type="paragraph" w:styleId="Paragraphedeliste">
    <w:name w:val="List Paragraph"/>
    <w:basedOn w:val="Normal"/>
    <w:uiPriority w:val="34"/>
    <w:qFormat/>
    <w:rsid w:val="00116BE4"/>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lang w:eastAsia="ar-SA"/>
    </w:rPr>
  </w:style>
  <w:style w:type="paragraph" w:styleId="Corpsdetexte">
    <w:name w:val="Body Text"/>
    <w:basedOn w:val="Normal"/>
    <w:link w:val="CorpsdetexteCar"/>
    <w:rsid w:val="00116BE4"/>
    <w:pPr>
      <w:suppressAutoHyphens/>
      <w:overflowPunct w:val="0"/>
      <w:autoSpaceDE w:val="0"/>
      <w:spacing w:after="120" w:line="240" w:lineRule="auto"/>
      <w:textAlignment w:val="baseline"/>
    </w:pPr>
    <w:rPr>
      <w:rFonts w:ascii="Times New Roman" w:eastAsia="Times New Roman" w:hAnsi="Times New Roman" w:cs="Times New Roman"/>
      <w:sz w:val="20"/>
      <w:szCs w:val="20"/>
      <w:lang w:eastAsia="ar-SA"/>
    </w:rPr>
  </w:style>
  <w:style w:type="character" w:customStyle="1" w:styleId="CorpsdetexteCar">
    <w:name w:val="Corps de texte Car"/>
    <w:basedOn w:val="Policepardfaut"/>
    <w:link w:val="Corpsdetexte"/>
    <w:rsid w:val="00116BE4"/>
    <w:rPr>
      <w:rFonts w:ascii="Times New Roman" w:eastAsia="Times New Roman" w:hAnsi="Times New Roman" w:cs="Times New Roman"/>
      <w:sz w:val="20"/>
      <w:szCs w:val="20"/>
      <w:lang w:eastAsia="ar-SA"/>
    </w:rPr>
  </w:style>
  <w:style w:type="character" w:styleId="Lienhypertexte">
    <w:name w:val="Hyperlink"/>
    <w:uiPriority w:val="99"/>
    <w:semiHidden/>
    <w:unhideWhenUsed/>
    <w:rsid w:val="00116BE4"/>
    <w:rPr>
      <w:rFonts w:cs="Times New Roman"/>
      <w:color w:val="0000FF"/>
      <w:u w:val="single"/>
    </w:rPr>
  </w:style>
  <w:style w:type="paragraph" w:styleId="En-tte">
    <w:name w:val="header"/>
    <w:basedOn w:val="Normal"/>
    <w:link w:val="En-tteCar"/>
    <w:uiPriority w:val="99"/>
    <w:unhideWhenUsed/>
    <w:rsid w:val="00116BE4"/>
    <w:pPr>
      <w:tabs>
        <w:tab w:val="center" w:pos="4536"/>
        <w:tab w:val="right" w:pos="9072"/>
      </w:tabs>
      <w:spacing w:after="0" w:line="240" w:lineRule="auto"/>
    </w:pPr>
  </w:style>
  <w:style w:type="character" w:customStyle="1" w:styleId="En-tteCar">
    <w:name w:val="En-tête Car"/>
    <w:basedOn w:val="Policepardfaut"/>
    <w:link w:val="En-tte"/>
    <w:uiPriority w:val="99"/>
    <w:rsid w:val="00116BE4"/>
  </w:style>
  <w:style w:type="paragraph" w:styleId="Pieddepage">
    <w:name w:val="footer"/>
    <w:basedOn w:val="Normal"/>
    <w:link w:val="PieddepageCar"/>
    <w:uiPriority w:val="99"/>
    <w:unhideWhenUsed/>
    <w:rsid w:val="00116B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6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affichTexteArticle.do?cidTexte=JORFTEXT000000504704&amp;idArticle=LEGIARTI000006366460&amp;dateTexte=&amp;categorieLien=cid"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69CEA1037846A992EC5211021F6505"/>
        <w:category>
          <w:name w:val="Général"/>
          <w:gallery w:val="placeholder"/>
        </w:category>
        <w:types>
          <w:type w:val="bbPlcHdr"/>
        </w:types>
        <w:behaviors>
          <w:behavior w:val="content"/>
        </w:behaviors>
        <w:guid w:val="{BF9E7907-96AC-4378-9213-40CA0DFDB320}"/>
      </w:docPartPr>
      <w:docPartBody>
        <w:p w:rsidR="0073552E" w:rsidRDefault="00DD2E83" w:rsidP="00DD2E83">
          <w:pPr>
            <w:pStyle w:val="E869CEA1037846A992EC5211021F6505"/>
          </w:pPr>
          <w:r>
            <w:rPr>
              <w:rFonts w:asciiTheme="majorHAnsi" w:eastAsiaTheme="majorEastAsia" w:hAnsiTheme="majorHAnsi" w:cstheme="majorBidi"/>
              <w:caps/>
              <w:color w:val="5B9BD5" w:themeColor="accent1"/>
              <w:sz w:val="80"/>
              <w:szCs w:val="80"/>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83"/>
    <w:rsid w:val="0021327B"/>
    <w:rsid w:val="00422A09"/>
    <w:rsid w:val="0048658B"/>
    <w:rsid w:val="0073552E"/>
    <w:rsid w:val="00DD2E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5F3F65D44E94BFD9D0D6B6620B2871A">
    <w:name w:val="E5F3F65D44E94BFD9D0D6B6620B2871A"/>
    <w:rsid w:val="00DD2E83"/>
  </w:style>
  <w:style w:type="paragraph" w:customStyle="1" w:styleId="A5C6372A9F17423F8E9BDFEEB0FC698C">
    <w:name w:val="A5C6372A9F17423F8E9BDFEEB0FC698C"/>
    <w:rsid w:val="00DD2E83"/>
  </w:style>
  <w:style w:type="paragraph" w:customStyle="1" w:styleId="E869CEA1037846A992EC5211021F6505">
    <w:name w:val="E869CEA1037846A992EC5211021F6505"/>
    <w:rsid w:val="00DD2E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2145</Words>
  <Characters>11799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LE BEAUDET</vt:lpstr>
    </vt:vector>
  </TitlesOfParts>
  <Company/>
  <LinksUpToDate>false</LinksUpToDate>
  <CharactersWithSpaces>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BEAUDET</dc:title>
  <dc:subject/>
  <dc:creator>admin</dc:creator>
  <cp:keywords/>
  <dc:description/>
  <cp:lastModifiedBy>admin</cp:lastModifiedBy>
  <cp:revision>5</cp:revision>
  <dcterms:created xsi:type="dcterms:W3CDTF">2021-07-12T13:27:00Z</dcterms:created>
  <dcterms:modified xsi:type="dcterms:W3CDTF">2021-07-16T05:30:00Z</dcterms:modified>
</cp:coreProperties>
</file>